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EA" w:rsidRDefault="00D376EA" w:rsidP="00D376EA">
      <w:pPr>
        <w:spacing w:line="240" w:lineRule="exact"/>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Приложение </w:t>
      </w:r>
      <w:r>
        <w:rPr>
          <w:rFonts w:ascii="Times New Roman" w:hAnsi="Times New Roman" w:cs="Times New Roman"/>
          <w:sz w:val="28"/>
          <w:szCs w:val="28"/>
          <w:lang w:val="ru-RU"/>
        </w:rPr>
        <w:t>2</w:t>
      </w:r>
      <w:r>
        <w:rPr>
          <w:rFonts w:ascii="Times New Roman" w:hAnsi="Times New Roman" w:cs="Times New Roman"/>
          <w:sz w:val="28"/>
          <w:szCs w:val="28"/>
        </w:rPr>
        <w:t xml:space="preserve"> </w:t>
      </w:r>
    </w:p>
    <w:p w:rsidR="00D376EA" w:rsidRDefault="00D376EA" w:rsidP="00D376EA">
      <w:pPr>
        <w:spacing w:line="240" w:lineRule="exact"/>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к письму</w:t>
      </w:r>
    </w:p>
    <w:p w:rsidR="00D376EA" w:rsidRDefault="00D376EA" w:rsidP="00D376EA">
      <w:pPr>
        <w:spacing w:line="240" w:lineRule="exact"/>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D62B62">
        <w:rPr>
          <w:rFonts w:ascii="Times New Roman" w:hAnsi="Times New Roman" w:cs="Times New Roman"/>
          <w:sz w:val="28"/>
          <w:szCs w:val="28"/>
          <w:lang w:val="ru-RU"/>
        </w:rPr>
        <w:t xml:space="preserve">                            </w:t>
      </w:r>
      <w:bookmarkStart w:id="0" w:name="_GoBack"/>
      <w:bookmarkEnd w:id="0"/>
      <w:r>
        <w:rPr>
          <w:rFonts w:ascii="Times New Roman" w:hAnsi="Times New Roman" w:cs="Times New Roman"/>
          <w:sz w:val="28"/>
          <w:szCs w:val="28"/>
        </w:rPr>
        <w:t>министерства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образования </w:t>
      </w:r>
    </w:p>
    <w:p w:rsidR="00D376EA" w:rsidRDefault="00D376EA" w:rsidP="00D376EA">
      <w:pPr>
        <w:spacing w:line="240" w:lineRule="exact"/>
        <w:jc w:val="both"/>
        <w:rPr>
          <w:rFonts w:ascii="Times New Roman" w:hAnsi="Times New Roman" w:cs="Times New Roman"/>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Ставропольского края </w:t>
      </w:r>
    </w:p>
    <w:p w:rsidR="00D376EA" w:rsidRDefault="00D376EA" w:rsidP="00D376EA">
      <w:pPr>
        <w:spacing w:line="240" w:lineRule="exact"/>
        <w:jc w:val="both"/>
        <w:rPr>
          <w:rFonts w:ascii="Times New Roman" w:hAnsi="Times New Roman" w:cs="Times New Roman"/>
          <w:b/>
          <w:sz w:val="28"/>
          <w:szCs w:val="28"/>
        </w:rPr>
      </w:pPr>
      <w:r>
        <w:rPr>
          <w:rFonts w:ascii="Times New Roman" w:hAnsi="Times New Roman" w:cs="Times New Roman"/>
          <w:sz w:val="28"/>
          <w:szCs w:val="28"/>
          <w:lang w:val="ru-RU"/>
        </w:rPr>
        <w:t xml:space="preserve">                                                                            </w:t>
      </w:r>
      <w:r>
        <w:rPr>
          <w:rFonts w:ascii="Times New Roman" w:hAnsi="Times New Roman" w:cs="Times New Roman"/>
          <w:sz w:val="28"/>
          <w:szCs w:val="28"/>
        </w:rPr>
        <w:t>«    »             2021г. №</w:t>
      </w:r>
      <w:r>
        <w:rPr>
          <w:rFonts w:ascii="Times New Roman" w:hAnsi="Times New Roman" w:cs="Times New Roman"/>
          <w:b/>
          <w:sz w:val="28"/>
          <w:szCs w:val="28"/>
        </w:rPr>
        <w:t xml:space="preserve">  </w:t>
      </w:r>
    </w:p>
    <w:p w:rsidR="001A05E2" w:rsidRPr="00D376EA" w:rsidRDefault="001A05E2">
      <w:pPr>
        <w:spacing w:line="360" w:lineRule="auto"/>
        <w:jc w:val="center"/>
        <w:rPr>
          <w:rFonts w:ascii="Times New Roman" w:eastAsia="Times New Roman" w:hAnsi="Times New Roman" w:cs="Times New Roman"/>
          <w:b/>
          <w:sz w:val="28"/>
          <w:szCs w:val="28"/>
        </w:rPr>
      </w:pPr>
    </w:p>
    <w:p w:rsidR="001A05E2" w:rsidRDefault="007944C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Инструктивно-методические материалы </w:t>
      </w:r>
    </w:p>
    <w:p w:rsidR="001A05E2" w:rsidRDefault="005A426C">
      <w:pPr>
        <w:spacing w:line="36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проекта</w:t>
      </w:r>
      <w:r w:rsidR="007944CA">
        <w:rPr>
          <w:rFonts w:ascii="Times New Roman" w:eastAsia="Times New Roman" w:hAnsi="Times New Roman" w:cs="Times New Roman"/>
          <w:b/>
          <w:sz w:val="24"/>
          <w:szCs w:val="24"/>
        </w:rPr>
        <w:t xml:space="preserve"> «Билет в Будущее» </w:t>
      </w:r>
    </w:p>
    <w:p w:rsidR="001A05E2" w:rsidRDefault="001A05E2">
      <w:pPr>
        <w:rPr>
          <w:rFonts w:ascii="Times New Roman" w:hAnsi="Times New Roman" w:cs="Times New Roman"/>
          <w:sz w:val="24"/>
          <w:szCs w:val="24"/>
        </w:rPr>
      </w:pPr>
    </w:p>
    <w:p w:rsidR="001A05E2" w:rsidRDefault="007944CA">
      <w:pPr>
        <w:pStyle w:val="1"/>
        <w:numPr>
          <w:ilvl w:val="0"/>
          <w:numId w:val="1"/>
        </w:numPr>
        <w:spacing w:before="0" w:after="0" w:line="360" w:lineRule="auto"/>
        <w:ind w:firstLine="720"/>
        <w:rPr>
          <w:rFonts w:ascii="Times New Roman" w:eastAsiaTheme="majorEastAsia" w:hAnsi="Times New Roman" w:cs="Times New Roman"/>
          <w:b/>
          <w:bCs/>
          <w:color w:val="365F91" w:themeColor="accent1" w:themeShade="BF"/>
          <w:sz w:val="24"/>
          <w:szCs w:val="24"/>
          <w:lang w:val="ru-RU" w:eastAsia="en-US"/>
        </w:rPr>
      </w:pPr>
      <w:bookmarkStart w:id="1" w:name="_Toc80952280"/>
      <w:r>
        <w:rPr>
          <w:rFonts w:ascii="Times New Roman" w:eastAsiaTheme="majorEastAsia" w:hAnsi="Times New Roman" w:cs="Times New Roman"/>
          <w:b/>
          <w:bCs/>
          <w:color w:val="365F91" w:themeColor="accent1" w:themeShade="BF"/>
          <w:sz w:val="24"/>
          <w:szCs w:val="24"/>
          <w:lang w:val="ru-RU" w:eastAsia="en-US"/>
        </w:rPr>
        <w:t>Общая информация</w:t>
      </w:r>
      <w:bookmarkEnd w:id="1"/>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Настоящие </w:t>
      </w:r>
      <w:r w:rsidR="0086793E">
        <w:rPr>
          <w:rFonts w:ascii="Times New Roman" w:eastAsia="Times New Roman" w:hAnsi="Times New Roman" w:cs="Times New Roman"/>
          <w:sz w:val="24"/>
          <w:szCs w:val="24"/>
          <w:lang w:val="ru-RU"/>
        </w:rPr>
        <w:t>инструктивно</w:t>
      </w:r>
      <w:r w:rsidR="007B0E96">
        <w:rPr>
          <w:rFonts w:ascii="Times New Roman" w:eastAsia="Times New Roman" w:hAnsi="Times New Roman" w:cs="Times New Roman"/>
          <w:sz w:val="24"/>
          <w:szCs w:val="24"/>
          <w:lang w:val="ru-RU"/>
        </w:rPr>
        <w:t xml:space="preserve"> </w:t>
      </w:r>
      <w:r w:rsidR="0086793E">
        <w:rPr>
          <w:rFonts w:ascii="Times New Roman" w:eastAsia="Times New Roman" w:hAnsi="Times New Roman" w:cs="Times New Roman"/>
          <w:sz w:val="24"/>
          <w:szCs w:val="24"/>
          <w:lang w:val="ru-RU"/>
        </w:rPr>
        <w:t xml:space="preserve">- методические материалы (далее -– </w:t>
      </w:r>
      <w:r>
        <w:rPr>
          <w:rFonts w:ascii="Times New Roman" w:eastAsia="Times New Roman" w:hAnsi="Times New Roman" w:cs="Times New Roman"/>
          <w:sz w:val="24"/>
          <w:szCs w:val="24"/>
        </w:rPr>
        <w:t>методические рекомендации</w:t>
      </w:r>
      <w:r w:rsidR="0086793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предназначены для создания и функционирования системы мер ранней профессиональной ориентации обучающихся</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6–11  классов общеобразовательных организаций в рамках проекта «Билет в будущее» (далее – Проект), включающей ознакомление с современными профессиями, профессиями будущего и трендами их развития, определение профессиональных интересов детей, формирование рекомендаций по построению индивидуальной образовательной траектории в соответствии с выбранными профессиональными компетенциями (профессиональными областями деятельности) в зависимости от уровня осознанности, интересов и способностей.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Целевая аудитория Проекта – обучающиеся 6–11 классов общеобразовательных организаций, включая детей с ограниченными возможностями здоровья и инвалидностью, родители и педагоги, представители СПО и </w:t>
      </w:r>
      <w:proofErr w:type="gramStart"/>
      <w:r>
        <w:rPr>
          <w:rFonts w:ascii="Times New Roman" w:eastAsia="Times New Roman" w:hAnsi="Times New Roman" w:cs="Times New Roman"/>
          <w:sz w:val="24"/>
          <w:szCs w:val="24"/>
        </w:rPr>
        <w:t>ВО</w:t>
      </w:r>
      <w:proofErr w:type="gramEnd"/>
      <w:r>
        <w:rPr>
          <w:rFonts w:ascii="Times New Roman" w:eastAsia="Times New Roman" w:hAnsi="Times New Roman" w:cs="Times New Roman"/>
          <w:sz w:val="24"/>
          <w:szCs w:val="24"/>
        </w:rPr>
        <w:t>, региональные бизнес-структуры.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Содержание Проекта предполагает спецификацию по трем возрастным</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группам</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6–7, 8–9 и 10–11 классы</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Все виды активности в рамках Проекта (</w:t>
      </w:r>
      <w:proofErr w:type="spellStart"/>
      <w:r>
        <w:rPr>
          <w:rFonts w:ascii="Times New Roman" w:eastAsia="Times New Roman" w:hAnsi="Times New Roman" w:cs="Times New Roman"/>
          <w:sz w:val="24"/>
          <w:szCs w:val="24"/>
        </w:rPr>
        <w:t>видеоконтент</w:t>
      </w:r>
      <w:proofErr w:type="spellEnd"/>
      <w:r>
        <w:rPr>
          <w:rFonts w:ascii="Times New Roman" w:eastAsia="Times New Roman" w:hAnsi="Times New Roman" w:cs="Times New Roman"/>
          <w:sz w:val="24"/>
          <w:szCs w:val="24"/>
        </w:rPr>
        <w:t xml:space="preserve">, статьи, </w:t>
      </w:r>
      <w:proofErr w:type="spellStart"/>
      <w:r>
        <w:rPr>
          <w:rFonts w:ascii="Times New Roman" w:eastAsia="Times New Roman" w:hAnsi="Times New Roman" w:cs="Times New Roman"/>
          <w:sz w:val="24"/>
          <w:szCs w:val="24"/>
          <w:lang w:val="ru-RU"/>
        </w:rPr>
        <w:t>профориентационные</w:t>
      </w:r>
      <w:proofErr w:type="spellEnd"/>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онлайн-уроки, методы диагностики, мероприятия</w:t>
      </w:r>
      <w:r>
        <w:rPr>
          <w:rFonts w:ascii="Times New Roman" w:eastAsia="Times New Roman" w:hAnsi="Times New Roman" w:cs="Times New Roman"/>
          <w:sz w:val="24"/>
          <w:szCs w:val="24"/>
          <w:lang w:val="ru-RU"/>
        </w:rPr>
        <w:t xml:space="preserve"> профессионального выбора) </w:t>
      </w:r>
      <w:r>
        <w:rPr>
          <w:rFonts w:ascii="Times New Roman" w:eastAsia="Times New Roman" w:hAnsi="Times New Roman" w:cs="Times New Roman"/>
          <w:sz w:val="24"/>
          <w:szCs w:val="24"/>
        </w:rPr>
        <w:t>разрабатываются с учетом возрастных особенностей обучающихся и ориентированы на разные возрастные группы.</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Проект реализуется во исполнение федерального проекта «Успех каждого ребенка» национального проекта «Образование».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Настоящие методические рекомендации предназначены для обеспечения единых организационных и методических условий реализации </w:t>
      </w:r>
      <w:r>
        <w:rPr>
          <w:rFonts w:ascii="Times New Roman" w:eastAsia="Times New Roman" w:hAnsi="Times New Roman" w:cs="Times New Roman"/>
          <w:sz w:val="24"/>
          <w:szCs w:val="24"/>
          <w:lang w:val="ru-RU"/>
        </w:rPr>
        <w:t>П</w:t>
      </w:r>
      <w:proofErr w:type="spellStart"/>
      <w:r>
        <w:rPr>
          <w:rFonts w:ascii="Times New Roman" w:eastAsia="Times New Roman" w:hAnsi="Times New Roman" w:cs="Times New Roman"/>
          <w:sz w:val="24"/>
          <w:szCs w:val="24"/>
        </w:rPr>
        <w:t>роекта</w:t>
      </w:r>
      <w:proofErr w:type="spellEnd"/>
      <w:r>
        <w:rPr>
          <w:rFonts w:ascii="Times New Roman" w:eastAsia="Times New Roman" w:hAnsi="Times New Roman" w:cs="Times New Roman"/>
          <w:sz w:val="24"/>
          <w:szCs w:val="24"/>
        </w:rPr>
        <w:t>. </w:t>
      </w:r>
    </w:p>
    <w:p w:rsidR="001A05E2" w:rsidRDefault="007944CA">
      <w:pPr>
        <w:pStyle w:val="1"/>
        <w:numPr>
          <w:ilvl w:val="0"/>
          <w:numId w:val="1"/>
        </w:numPr>
        <w:spacing w:before="0" w:after="0" w:line="360" w:lineRule="auto"/>
        <w:ind w:firstLine="720"/>
        <w:jc w:val="both"/>
        <w:rPr>
          <w:rFonts w:ascii="Times New Roman" w:eastAsiaTheme="majorEastAsia" w:hAnsi="Times New Roman" w:cs="Times New Roman"/>
          <w:b/>
          <w:bCs/>
          <w:color w:val="365F91" w:themeColor="accent1" w:themeShade="BF"/>
          <w:sz w:val="24"/>
          <w:szCs w:val="24"/>
          <w:lang w:val="ru-RU" w:eastAsia="en-US"/>
        </w:rPr>
      </w:pPr>
      <w:bookmarkStart w:id="2" w:name="_Toc80952281"/>
      <w:r>
        <w:rPr>
          <w:rFonts w:ascii="Times New Roman" w:eastAsiaTheme="majorEastAsia" w:hAnsi="Times New Roman" w:cs="Times New Roman"/>
          <w:b/>
          <w:bCs/>
          <w:color w:val="365F91" w:themeColor="accent1" w:themeShade="BF"/>
          <w:sz w:val="24"/>
          <w:szCs w:val="24"/>
          <w:lang w:val="ru-RU" w:eastAsia="en-US"/>
        </w:rPr>
        <w:t>Цели и задачи</w:t>
      </w:r>
      <w:bookmarkEnd w:id="2"/>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Цель Проекта – формирование готовности к профессиональному самоопределению обучающихся 6–11 классов общеобразовательных организаций.</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Ключевые задачи: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построение системной модели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w:t>
      </w:r>
      <w:proofErr w:type="spellStart"/>
      <w:r>
        <w:rPr>
          <w:rFonts w:ascii="Times New Roman" w:eastAsia="Times New Roman" w:hAnsi="Times New Roman" w:cs="Times New Roman"/>
          <w:sz w:val="24"/>
          <w:szCs w:val="24"/>
          <w:lang w:val="ru-RU"/>
        </w:rPr>
        <w:t>диагностико</w:t>
      </w:r>
      <w:proofErr w:type="spellEnd"/>
      <w:r>
        <w:rPr>
          <w:rFonts w:ascii="Times New Roman" w:eastAsia="Times New Roman" w:hAnsi="Times New Roman" w:cs="Times New Roman"/>
          <w:sz w:val="24"/>
          <w:szCs w:val="24"/>
          <w:lang w:val="ru-RU"/>
        </w:rPr>
        <w:t>-консультативного подходов к формированию готовности к профессиональному самоопределению и вовлечении всех участников образовательного процесса;</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 расширение, систематизация и обогащение инструментами и практиками региональных моделей профессиональной ориентации обучающихся;</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 информирование обучающихся об устройстве рынка труда в регионе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профессионального выбора;</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формирование у обучающихся профориентационных компетенций, необходимых для осуществления всех этапов карьерной </w:t>
      </w:r>
      <w:proofErr w:type="spellStart"/>
      <w:r>
        <w:rPr>
          <w:rFonts w:ascii="Times New Roman" w:eastAsia="Times New Roman" w:hAnsi="Times New Roman" w:cs="Times New Roman"/>
          <w:sz w:val="24"/>
          <w:szCs w:val="24"/>
          <w:lang w:val="ru-RU"/>
        </w:rPr>
        <w:t>самонавигации</w:t>
      </w:r>
      <w:proofErr w:type="spellEnd"/>
      <w:r>
        <w:rPr>
          <w:rFonts w:ascii="Times New Roman" w:eastAsia="Times New Roman" w:hAnsi="Times New Roman" w:cs="Times New Roman"/>
          <w:sz w:val="24"/>
          <w:szCs w:val="24"/>
          <w:lang w:val="ru-RU"/>
        </w:rPr>
        <w:t xml:space="preserve">, приобретения и осмысления </w:t>
      </w:r>
      <w:proofErr w:type="spellStart"/>
      <w:r>
        <w:rPr>
          <w:rFonts w:ascii="Times New Roman" w:eastAsia="Times New Roman" w:hAnsi="Times New Roman" w:cs="Times New Roman"/>
          <w:sz w:val="24"/>
          <w:szCs w:val="24"/>
          <w:lang w:val="ru-RU"/>
        </w:rPr>
        <w:t>профориентационно</w:t>
      </w:r>
      <w:proofErr w:type="spellEnd"/>
      <w:r>
        <w:rPr>
          <w:rFonts w:ascii="Times New Roman" w:eastAsia="Times New Roman" w:hAnsi="Times New Roman" w:cs="Times New Roman"/>
          <w:sz w:val="24"/>
          <w:szCs w:val="24"/>
          <w:lang w:val="ru-RU"/>
        </w:rPr>
        <w:t xml:space="preserve"> значимого опыта, активного освоения ресурсов территориальной среды профессионального самоопределения, оценки успешности прохождения профессиональных проб, осознанного конструирования индивидуальной образовательно-профессиональной траектор</w:t>
      </w:r>
      <w:proofErr w:type="gramStart"/>
      <w:r>
        <w:rPr>
          <w:rFonts w:ascii="Times New Roman" w:eastAsia="Times New Roman" w:hAnsi="Times New Roman" w:cs="Times New Roman"/>
          <w:sz w:val="24"/>
          <w:szCs w:val="24"/>
          <w:lang w:val="ru-RU"/>
        </w:rPr>
        <w:t>ии и ее</w:t>
      </w:r>
      <w:proofErr w:type="gramEnd"/>
      <w:r>
        <w:rPr>
          <w:rFonts w:ascii="Times New Roman" w:eastAsia="Times New Roman" w:hAnsi="Times New Roman" w:cs="Times New Roman"/>
          <w:sz w:val="24"/>
          <w:szCs w:val="24"/>
          <w:lang w:val="ru-RU"/>
        </w:rPr>
        <w:t xml:space="preserve"> адаптации с учетом имеющихся компетенций и возможностей среды.</w:t>
      </w:r>
    </w:p>
    <w:p w:rsidR="001A05E2" w:rsidRDefault="007944CA">
      <w:pPr>
        <w:pStyle w:val="1"/>
        <w:numPr>
          <w:ilvl w:val="0"/>
          <w:numId w:val="1"/>
        </w:numPr>
        <w:spacing w:before="0" w:after="0" w:line="360" w:lineRule="auto"/>
        <w:ind w:firstLine="720"/>
        <w:jc w:val="both"/>
        <w:rPr>
          <w:rFonts w:ascii="Times New Roman" w:eastAsiaTheme="majorEastAsia" w:hAnsi="Times New Roman" w:cs="Times New Roman"/>
          <w:b/>
          <w:bCs/>
          <w:color w:val="365F91" w:themeColor="accent1" w:themeShade="BF"/>
          <w:sz w:val="24"/>
          <w:szCs w:val="24"/>
          <w:lang w:val="ru-RU" w:eastAsia="en-US"/>
        </w:rPr>
      </w:pPr>
      <w:bookmarkStart w:id="3" w:name="_Toc80952282"/>
      <w:r>
        <w:rPr>
          <w:rFonts w:ascii="Times New Roman" w:eastAsiaTheme="majorEastAsia" w:hAnsi="Times New Roman" w:cs="Times New Roman"/>
          <w:b/>
          <w:bCs/>
          <w:color w:val="365F91" w:themeColor="accent1" w:themeShade="BF"/>
          <w:sz w:val="24"/>
          <w:szCs w:val="24"/>
          <w:lang w:val="ru-RU" w:eastAsia="en-US"/>
        </w:rPr>
        <w:t>Глоссарий</w:t>
      </w:r>
      <w:bookmarkEnd w:id="3"/>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Оператор проекта</w:t>
      </w:r>
      <w:r>
        <w:rPr>
          <w:rFonts w:ascii="Times New Roman" w:eastAsia="Times New Roman" w:hAnsi="Times New Roman" w:cs="Times New Roman"/>
          <w:sz w:val="24"/>
          <w:szCs w:val="24"/>
          <w:lang w:val="ru-RU"/>
        </w:rPr>
        <w:t xml:space="preserve"> – Фонд Гуманитарных Проектов. Был создан в 2013 году для реализации миссии по распространению культурных и исторических знаний в России. Основная задача Фонда – улучшить социокультурную обстановку путем развития отношений с регионами Российской Федерации посредством укрепления культурных связей, взаимодействия с ведущими профессиональными сообществами и продвижения гуманитарных ценностей в России.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Проект «Билет в будущее»</w:t>
      </w:r>
      <w:r>
        <w:rPr>
          <w:rFonts w:ascii="Times New Roman" w:eastAsia="Times New Roman" w:hAnsi="Times New Roman" w:cs="Times New Roman"/>
          <w:sz w:val="24"/>
          <w:szCs w:val="24"/>
          <w:lang w:val="ru-RU"/>
        </w:rPr>
        <w:t xml:space="preserve"> – проект ранней профессиональной ориентации обучающихся 6–11 классов общеобразовательных организаций субъектов Российской Федерации.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Региональный оператор</w:t>
      </w:r>
      <w:r>
        <w:rPr>
          <w:rFonts w:ascii="Times New Roman" w:eastAsia="Times New Roman" w:hAnsi="Times New Roman" w:cs="Times New Roman"/>
          <w:sz w:val="24"/>
          <w:szCs w:val="24"/>
          <w:lang w:val="ru-RU"/>
        </w:rPr>
        <w:t xml:space="preserve"> – юридическое лицо, ответственное за реализацию проекта на территории субъекта Российской Федерации в сотрудничестве с оператором проекта.</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lastRenderedPageBreak/>
        <w:t>Педагог-навигатор</w:t>
      </w:r>
      <w:r>
        <w:rPr>
          <w:rFonts w:ascii="Times New Roman" w:eastAsia="Times New Roman" w:hAnsi="Times New Roman" w:cs="Times New Roman"/>
          <w:sz w:val="24"/>
          <w:szCs w:val="24"/>
          <w:lang w:val="ru-RU"/>
        </w:rPr>
        <w:t xml:space="preserve"> (ответственный за профессиональную ориентацию обучающихся) – специалист, непосредственно осуществляющий педагогическую поддержку обучающихся в процессе формирования и дальнейшей реализации </w:t>
      </w:r>
      <w:proofErr w:type="gramStart"/>
      <w:r>
        <w:rPr>
          <w:rFonts w:ascii="Times New Roman" w:eastAsia="Times New Roman" w:hAnsi="Times New Roman" w:cs="Times New Roman"/>
          <w:sz w:val="24"/>
          <w:szCs w:val="24"/>
          <w:lang w:val="ru-RU"/>
        </w:rPr>
        <w:t>их</w:t>
      </w:r>
      <w:proofErr w:type="gramEnd"/>
      <w:r>
        <w:rPr>
          <w:rFonts w:ascii="Times New Roman" w:eastAsia="Times New Roman" w:hAnsi="Times New Roman" w:cs="Times New Roman"/>
          <w:sz w:val="24"/>
          <w:szCs w:val="24"/>
          <w:lang w:val="ru-RU"/>
        </w:rPr>
        <w:t xml:space="preserve"> индивидуальных образовательно-профессиональных траекторий. В качестве педагогов-навигаторов могут выступать педагогические работники основного и среднего общего образования, дополнительного образования, сотрудники исполнительной власти.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Профессиональная ориентация</w:t>
      </w:r>
      <w:r>
        <w:rPr>
          <w:rFonts w:ascii="Times New Roman" w:eastAsia="Times New Roman" w:hAnsi="Times New Roman" w:cs="Times New Roman"/>
          <w:sz w:val="24"/>
          <w:szCs w:val="24"/>
          <w:lang w:val="ru-RU"/>
        </w:rPr>
        <w:t xml:space="preserve"> – система последовательных, научно обоснованных мероприятий, направленных на обеспечение профессионального самоопределения и построения индивидуальной образовательно-профессиональной траектории обучающегося в соответствии с его индивидуальными особенностями и потребностями развития общества.</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Мероприятия профессионального выбора</w:t>
      </w:r>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профориентационные</w:t>
      </w:r>
      <w:proofErr w:type="spellEnd"/>
      <w:r>
        <w:rPr>
          <w:rFonts w:ascii="Times New Roman" w:eastAsia="Times New Roman" w:hAnsi="Times New Roman" w:cs="Times New Roman"/>
          <w:sz w:val="24"/>
          <w:szCs w:val="24"/>
          <w:lang w:val="ru-RU"/>
        </w:rPr>
        <w:t xml:space="preserve"> практические мероприятия разных видов (мультимедийные выставки, практикумы, всероссийский </w:t>
      </w:r>
      <w:proofErr w:type="spellStart"/>
      <w:r>
        <w:rPr>
          <w:rFonts w:ascii="Times New Roman" w:eastAsia="Times New Roman" w:hAnsi="Times New Roman" w:cs="Times New Roman"/>
          <w:sz w:val="24"/>
          <w:szCs w:val="24"/>
          <w:lang w:val="ru-RU"/>
        </w:rPr>
        <w:t>профориентационный</w:t>
      </w:r>
      <w:proofErr w:type="spellEnd"/>
      <w:r>
        <w:rPr>
          <w:rFonts w:ascii="Times New Roman" w:eastAsia="Times New Roman" w:hAnsi="Times New Roman" w:cs="Times New Roman"/>
          <w:sz w:val="24"/>
          <w:szCs w:val="24"/>
          <w:lang w:val="ru-RU"/>
        </w:rPr>
        <w:t xml:space="preserve"> фестиваль, </w:t>
      </w:r>
      <w:proofErr w:type="spellStart"/>
      <w:r>
        <w:rPr>
          <w:rFonts w:ascii="Times New Roman" w:eastAsia="Times New Roman" w:hAnsi="Times New Roman" w:cs="Times New Roman"/>
          <w:sz w:val="24"/>
          <w:szCs w:val="24"/>
          <w:lang w:val="ru-RU"/>
        </w:rPr>
        <w:t>профориентационные</w:t>
      </w:r>
      <w:proofErr w:type="spellEnd"/>
      <w:r>
        <w:rPr>
          <w:rFonts w:ascii="Times New Roman" w:eastAsia="Times New Roman" w:hAnsi="Times New Roman" w:cs="Times New Roman"/>
          <w:sz w:val="24"/>
          <w:szCs w:val="24"/>
          <w:lang w:val="ru-RU"/>
        </w:rPr>
        <w:t xml:space="preserve"> пробы и др.), реализуемые в рамках проекта на базе площадок в соответствии с требованиями и рекомендациями Оператора проекта.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Профессиональная проба – </w:t>
      </w:r>
      <w:r>
        <w:rPr>
          <w:rFonts w:ascii="Times New Roman" w:eastAsia="Times New Roman" w:hAnsi="Times New Roman" w:cs="Times New Roman"/>
          <w:sz w:val="24"/>
          <w:szCs w:val="24"/>
          <w:lang w:val="ru-RU"/>
        </w:rPr>
        <w:t xml:space="preserve">профессиональное испытание, моделирующее элементы конкретного вида профессиональной деятельности, имеющее завершенный вид, способствующее сознательному, обоснованному выбору профессии. </w:t>
      </w:r>
      <w:r>
        <w:rPr>
          <w:rFonts w:ascii="Times New Roman" w:eastAsia="Times New Roman" w:hAnsi="Times New Roman" w:cs="Times New Roman"/>
          <w:sz w:val="24"/>
          <w:szCs w:val="24"/>
        </w:rPr>
        <w:t>Профессиональные пробы осуществляются в соответствии с трудовым кодексом РФ</w:t>
      </w:r>
      <w:r>
        <w:rPr>
          <w:rFonts w:ascii="Times New Roman" w:eastAsia="Times New Roman" w:hAnsi="Times New Roman" w:cs="Times New Roman"/>
          <w:sz w:val="24"/>
          <w:szCs w:val="24"/>
          <w:lang w:val="ru-RU"/>
        </w:rPr>
        <w:t>, п</w:t>
      </w:r>
      <w:proofErr w:type="spellStart"/>
      <w:r>
        <w:rPr>
          <w:rFonts w:ascii="Times New Roman" w:eastAsia="Times New Roman" w:hAnsi="Times New Roman" w:cs="Times New Roman"/>
          <w:sz w:val="24"/>
          <w:szCs w:val="24"/>
        </w:rPr>
        <w:t>ри</w:t>
      </w:r>
      <w:proofErr w:type="spellEnd"/>
      <w:r>
        <w:rPr>
          <w:rFonts w:ascii="Times New Roman" w:eastAsia="Times New Roman" w:hAnsi="Times New Roman" w:cs="Times New Roman"/>
          <w:sz w:val="24"/>
          <w:szCs w:val="24"/>
        </w:rPr>
        <w:t xml:space="preserve"> составлении профессиональной пробы учитываются возрастные особенности обучающихся.</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Профессиональное самоопределение</w:t>
      </w:r>
      <w:r>
        <w:rPr>
          <w:rFonts w:ascii="Times New Roman" w:eastAsia="Times New Roman" w:hAnsi="Times New Roman" w:cs="Times New Roman"/>
          <w:sz w:val="24"/>
          <w:szCs w:val="24"/>
          <w:lang w:val="ru-RU"/>
        </w:rPr>
        <w:t xml:space="preserve"> – процесс осознанного нахождения смыслов профессиональной деятельности в конкретной культурно-исторической (социально-экономической) ситуации.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Платформа</w:t>
      </w:r>
      <w:r>
        <w:rPr>
          <w:rFonts w:ascii="Times New Roman" w:eastAsia="Times New Roman" w:hAnsi="Times New Roman" w:cs="Times New Roman"/>
          <w:sz w:val="24"/>
          <w:szCs w:val="24"/>
          <w:lang w:val="ru-RU"/>
        </w:rPr>
        <w:t xml:space="preserve"> – электронный ресурс проекта, расположенный в информационно-телекоммуникационной сети Интернет, обеспечивающий хранение и обновление данных участников проекта, прохождение тестирования, запись на практические мероприятия/мероприятия профессионального выбора, взаимодействие между участниками проекта. Платформа проекта предполагает разделение уровней доступа: открытая часть и закрытая часть Платформы. Для доступа к открытой части платформы предоставление персональных данных не требуется. Для доступа к закрытой части платформы необходима регистрация участника и педагога-наставника (образовательной организации).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lastRenderedPageBreak/>
        <w:t xml:space="preserve">Площадка </w:t>
      </w:r>
      <w:r>
        <w:rPr>
          <w:rFonts w:ascii="Times New Roman" w:eastAsia="Times New Roman" w:hAnsi="Times New Roman" w:cs="Times New Roman"/>
          <w:sz w:val="24"/>
          <w:szCs w:val="24"/>
          <w:lang w:val="ru-RU"/>
        </w:rPr>
        <w:t xml:space="preserve">– организация (или иное учреждение, соответствующее требованиям нормативно-правовых актов Российской Федерации), на базе которой организуется проведение мероприятий проекта по профессиональному выбору, включающих в себя мероприятия как очного, так и онлайн-форматов, в том числе с привлечением экспертов со стороны СПО, </w:t>
      </w:r>
      <w:proofErr w:type="gramStart"/>
      <w:r>
        <w:rPr>
          <w:rFonts w:ascii="Times New Roman" w:eastAsia="Times New Roman" w:hAnsi="Times New Roman" w:cs="Times New Roman"/>
          <w:sz w:val="24"/>
          <w:szCs w:val="24"/>
          <w:lang w:val="ru-RU"/>
        </w:rPr>
        <w:t>ВО</w:t>
      </w:r>
      <w:proofErr w:type="gramEnd"/>
      <w:r>
        <w:rPr>
          <w:rFonts w:ascii="Times New Roman" w:eastAsia="Times New Roman" w:hAnsi="Times New Roman" w:cs="Times New Roman"/>
          <w:sz w:val="24"/>
          <w:szCs w:val="24"/>
          <w:lang w:val="ru-RU"/>
        </w:rPr>
        <w:t xml:space="preserve"> и региональных бизнес-структур.</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Тьютор</w:t>
      </w:r>
      <w:r>
        <w:rPr>
          <w:rFonts w:ascii="Times New Roman" w:eastAsia="Times New Roman" w:hAnsi="Times New Roman" w:cs="Times New Roman"/>
          <w:sz w:val="24"/>
          <w:szCs w:val="24"/>
          <w:lang w:val="ru-RU"/>
        </w:rPr>
        <w:t xml:space="preserve"> – специалист, непосредственно осуществляющий информационную и организационную поддержку обучающихся в рамках проведения мероприятий профессионального выбора.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Партнер проекта</w:t>
      </w:r>
      <w:r>
        <w:rPr>
          <w:rFonts w:ascii="Times New Roman" w:eastAsia="Times New Roman" w:hAnsi="Times New Roman" w:cs="Times New Roman"/>
          <w:sz w:val="24"/>
          <w:szCs w:val="24"/>
          <w:lang w:val="ru-RU"/>
        </w:rPr>
        <w:t xml:space="preserve"> – юридическое лицо, осуществляющее ресурсную поддержку проекта на основании соглашения с Региональным оператором. К участию в мероприятиях должны быть привлечены государственные предприятия и федеральные предприятия и организации, в том случае, если они осуществляют деятельность на территории субъекта РФ. Основной акцент делается на работодателей и образовательные организации с целью </w:t>
      </w:r>
      <w:proofErr w:type="gramStart"/>
      <w:r>
        <w:rPr>
          <w:rFonts w:ascii="Times New Roman" w:eastAsia="Times New Roman" w:hAnsi="Times New Roman" w:cs="Times New Roman"/>
          <w:sz w:val="24"/>
          <w:szCs w:val="24"/>
          <w:lang w:val="ru-RU"/>
        </w:rPr>
        <w:t>решения кадрового обеспечения экономики субъекта Федерации</w:t>
      </w:r>
      <w:proofErr w:type="gramEnd"/>
      <w:r>
        <w:rPr>
          <w:rFonts w:ascii="Times New Roman" w:eastAsia="Times New Roman" w:hAnsi="Times New Roman" w:cs="Times New Roman"/>
          <w:sz w:val="24"/>
          <w:szCs w:val="24"/>
          <w:lang w:val="ru-RU"/>
        </w:rPr>
        <w:t>.</w:t>
      </w:r>
    </w:p>
    <w:p w:rsidR="001A05E2" w:rsidRDefault="007944CA">
      <w:pPr>
        <w:pStyle w:val="1"/>
        <w:numPr>
          <w:ilvl w:val="0"/>
          <w:numId w:val="1"/>
        </w:numPr>
        <w:spacing w:before="0" w:after="0" w:line="360" w:lineRule="auto"/>
        <w:ind w:firstLine="720"/>
        <w:jc w:val="both"/>
        <w:rPr>
          <w:rFonts w:ascii="Times New Roman" w:eastAsiaTheme="majorEastAsia" w:hAnsi="Times New Roman" w:cs="Times New Roman"/>
          <w:b/>
          <w:bCs/>
          <w:color w:val="365F91" w:themeColor="accent1" w:themeShade="BF"/>
          <w:sz w:val="24"/>
          <w:szCs w:val="24"/>
          <w:lang w:val="ru-RU" w:eastAsia="en-US"/>
        </w:rPr>
      </w:pPr>
      <w:bookmarkStart w:id="4" w:name="_Toc80952284"/>
      <w:r>
        <w:rPr>
          <w:rFonts w:ascii="Times New Roman" w:eastAsiaTheme="majorEastAsia" w:hAnsi="Times New Roman" w:cs="Times New Roman"/>
          <w:b/>
          <w:bCs/>
          <w:color w:val="365F91" w:themeColor="accent1" w:themeShade="BF"/>
          <w:sz w:val="24"/>
          <w:szCs w:val="24"/>
          <w:lang w:val="ru-RU" w:eastAsia="en-US"/>
        </w:rPr>
        <w:t>Этапы реализации Проекта</w:t>
      </w:r>
      <w:bookmarkEnd w:id="4"/>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Структура проекта</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rPr>
        <w:drawing>
          <wp:anchor distT="0" distB="0" distL="114300" distR="114300" simplePos="0" relativeHeight="251659264" behindDoc="0" locked="0" layoutInCell="1" allowOverlap="1">
            <wp:simplePos x="0" y="0"/>
            <wp:positionH relativeFrom="column">
              <wp:posOffset>178435</wp:posOffset>
            </wp:positionH>
            <wp:positionV relativeFrom="paragraph">
              <wp:posOffset>186055</wp:posOffset>
            </wp:positionV>
            <wp:extent cx="5774055" cy="3047365"/>
            <wp:effectExtent l="0" t="0" r="0"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74055" cy="3047365"/>
                    </a:xfrm>
                    <a:prstGeom prst="rect">
                      <a:avLst/>
                    </a:prstGeom>
                    <a:noFill/>
                  </pic:spPr>
                </pic:pic>
              </a:graphicData>
            </a:graphic>
          </wp:anchor>
        </w:drawing>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Мероприятия Проекта дистанционного этапа реализуются последовательно, очного этапа – параллельно (во всех субъектах Российской Федерации).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Мероприятия и результаты Проекта размещаются в закрытой части Платформы (для зарегистрированных участников Проекта).</w:t>
      </w:r>
    </w:p>
    <w:p w:rsidR="001A05E2" w:rsidRDefault="001A05E2">
      <w:pPr>
        <w:spacing w:line="360" w:lineRule="auto"/>
        <w:ind w:firstLine="720"/>
        <w:jc w:val="both"/>
        <w:rPr>
          <w:rFonts w:ascii="Times New Roman" w:eastAsia="Times New Roman" w:hAnsi="Times New Roman" w:cs="Times New Roman"/>
          <w:sz w:val="24"/>
          <w:szCs w:val="24"/>
          <w:lang w:val="ru-RU"/>
        </w:rPr>
      </w:pPr>
    </w:p>
    <w:p w:rsidR="001A05E2" w:rsidRDefault="001A05E2">
      <w:pPr>
        <w:pStyle w:val="ae"/>
        <w:keepNext/>
        <w:keepLines/>
        <w:numPr>
          <w:ilvl w:val="0"/>
          <w:numId w:val="2"/>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5" w:name="_Toc79574651"/>
      <w:bookmarkStart w:id="6" w:name="_Toc79573674"/>
      <w:bookmarkStart w:id="7" w:name="_Toc79562589"/>
      <w:bookmarkStart w:id="8" w:name="_Toc79540082"/>
      <w:bookmarkStart w:id="9" w:name="_Toc79562632"/>
      <w:bookmarkStart w:id="10" w:name="_Toc79573704"/>
      <w:bookmarkStart w:id="11" w:name="_Toc79670550"/>
      <w:bookmarkStart w:id="12" w:name="_Toc79573953"/>
      <w:bookmarkStart w:id="13" w:name="_Toc79573752"/>
      <w:bookmarkStart w:id="14" w:name="_Toc79573923"/>
      <w:bookmarkStart w:id="15" w:name="_Toc80952285"/>
      <w:bookmarkEnd w:id="5"/>
      <w:bookmarkEnd w:id="6"/>
      <w:bookmarkEnd w:id="7"/>
      <w:bookmarkEnd w:id="8"/>
      <w:bookmarkEnd w:id="9"/>
      <w:bookmarkEnd w:id="10"/>
      <w:bookmarkEnd w:id="11"/>
      <w:bookmarkEnd w:id="12"/>
      <w:bookmarkEnd w:id="13"/>
      <w:bookmarkEnd w:id="14"/>
      <w:bookmarkEnd w:id="15"/>
    </w:p>
    <w:p w:rsidR="001A05E2" w:rsidRDefault="001A05E2">
      <w:pPr>
        <w:pStyle w:val="ae"/>
        <w:keepNext/>
        <w:keepLines/>
        <w:numPr>
          <w:ilvl w:val="0"/>
          <w:numId w:val="2"/>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16" w:name="_Toc79573675"/>
      <w:bookmarkStart w:id="17" w:name="_Toc79573705"/>
      <w:bookmarkStart w:id="18" w:name="_Toc79562590"/>
      <w:bookmarkStart w:id="19" w:name="_Toc79573954"/>
      <w:bookmarkStart w:id="20" w:name="_Toc79574652"/>
      <w:bookmarkStart w:id="21" w:name="_Toc79562633"/>
      <w:bookmarkStart w:id="22" w:name="_Toc79573924"/>
      <w:bookmarkStart w:id="23" w:name="_Toc79670551"/>
      <w:bookmarkStart w:id="24" w:name="_Toc79573753"/>
      <w:bookmarkStart w:id="25" w:name="_Toc80952286"/>
      <w:bookmarkEnd w:id="16"/>
      <w:bookmarkEnd w:id="17"/>
      <w:bookmarkEnd w:id="18"/>
      <w:bookmarkEnd w:id="19"/>
      <w:bookmarkEnd w:id="20"/>
      <w:bookmarkEnd w:id="21"/>
      <w:bookmarkEnd w:id="22"/>
      <w:bookmarkEnd w:id="23"/>
      <w:bookmarkEnd w:id="24"/>
      <w:bookmarkEnd w:id="25"/>
    </w:p>
    <w:p w:rsidR="001A05E2" w:rsidRDefault="001A05E2">
      <w:pPr>
        <w:pStyle w:val="ae"/>
        <w:keepNext/>
        <w:keepLines/>
        <w:numPr>
          <w:ilvl w:val="0"/>
          <w:numId w:val="2"/>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26" w:name="_Toc79573955"/>
      <w:bookmarkStart w:id="27" w:name="_Toc79574653"/>
      <w:bookmarkStart w:id="28" w:name="_Toc79573676"/>
      <w:bookmarkStart w:id="29" w:name="_Toc79573706"/>
      <w:bookmarkStart w:id="30" w:name="_Toc79562591"/>
      <w:bookmarkStart w:id="31" w:name="_Toc79670552"/>
      <w:bookmarkStart w:id="32" w:name="_Toc79573754"/>
      <w:bookmarkStart w:id="33" w:name="_Toc79562634"/>
      <w:bookmarkStart w:id="34" w:name="_Toc79573925"/>
      <w:bookmarkStart w:id="35" w:name="_Toc80952287"/>
      <w:bookmarkEnd w:id="26"/>
      <w:bookmarkEnd w:id="27"/>
      <w:bookmarkEnd w:id="28"/>
      <w:bookmarkEnd w:id="29"/>
      <w:bookmarkEnd w:id="30"/>
      <w:bookmarkEnd w:id="31"/>
      <w:bookmarkEnd w:id="32"/>
      <w:bookmarkEnd w:id="33"/>
      <w:bookmarkEnd w:id="34"/>
      <w:bookmarkEnd w:id="35"/>
    </w:p>
    <w:p w:rsidR="001A05E2" w:rsidRDefault="001A05E2">
      <w:pPr>
        <w:pStyle w:val="ae"/>
        <w:keepNext/>
        <w:keepLines/>
        <w:numPr>
          <w:ilvl w:val="0"/>
          <w:numId w:val="2"/>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36" w:name="_Toc79574654"/>
      <w:bookmarkStart w:id="37" w:name="_Toc79573707"/>
      <w:bookmarkStart w:id="38" w:name="_Toc79670553"/>
      <w:bookmarkStart w:id="39" w:name="_Toc79562635"/>
      <w:bookmarkStart w:id="40" w:name="_Toc79573677"/>
      <w:bookmarkStart w:id="41" w:name="_Toc79573926"/>
      <w:bookmarkStart w:id="42" w:name="_Toc79573956"/>
      <w:bookmarkStart w:id="43" w:name="_Toc79562592"/>
      <w:bookmarkStart w:id="44" w:name="_Toc79573755"/>
      <w:bookmarkStart w:id="45" w:name="_Toc80952288"/>
      <w:bookmarkEnd w:id="36"/>
      <w:bookmarkEnd w:id="37"/>
      <w:bookmarkEnd w:id="38"/>
      <w:bookmarkEnd w:id="39"/>
      <w:bookmarkEnd w:id="40"/>
      <w:bookmarkEnd w:id="41"/>
      <w:bookmarkEnd w:id="42"/>
      <w:bookmarkEnd w:id="43"/>
      <w:bookmarkEnd w:id="44"/>
      <w:bookmarkEnd w:id="45"/>
    </w:p>
    <w:p w:rsidR="001A05E2" w:rsidRDefault="001A05E2">
      <w:pPr>
        <w:pStyle w:val="ae"/>
        <w:keepNext/>
        <w:keepLines/>
        <w:numPr>
          <w:ilvl w:val="0"/>
          <w:numId w:val="2"/>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46" w:name="_Toc79573678"/>
      <w:bookmarkStart w:id="47" w:name="_Toc79573957"/>
      <w:bookmarkStart w:id="48" w:name="_Toc79562593"/>
      <w:bookmarkStart w:id="49" w:name="_Toc79573708"/>
      <w:bookmarkStart w:id="50" w:name="_Toc79573927"/>
      <w:bookmarkStart w:id="51" w:name="_Toc79573756"/>
      <w:bookmarkStart w:id="52" w:name="_Toc79562636"/>
      <w:bookmarkStart w:id="53" w:name="_Toc79670554"/>
      <w:bookmarkStart w:id="54" w:name="_Toc79574655"/>
      <w:bookmarkStart w:id="55" w:name="_Toc80952289"/>
      <w:bookmarkEnd w:id="46"/>
      <w:bookmarkEnd w:id="47"/>
      <w:bookmarkEnd w:id="48"/>
      <w:bookmarkEnd w:id="49"/>
      <w:bookmarkEnd w:id="50"/>
      <w:bookmarkEnd w:id="51"/>
      <w:bookmarkEnd w:id="52"/>
      <w:bookmarkEnd w:id="53"/>
      <w:bookmarkEnd w:id="54"/>
      <w:bookmarkEnd w:id="55"/>
    </w:p>
    <w:p w:rsidR="001A05E2" w:rsidRDefault="007944CA" w:rsidP="00A0779B">
      <w:pPr>
        <w:pStyle w:val="1"/>
        <w:numPr>
          <w:ilvl w:val="1"/>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56" w:name="_Toc80952290"/>
      <w:r>
        <w:rPr>
          <w:rFonts w:ascii="Times New Roman" w:eastAsiaTheme="majorEastAsia" w:hAnsi="Times New Roman" w:cs="Times New Roman"/>
          <w:b/>
          <w:bCs/>
          <w:color w:val="365F91" w:themeColor="accent1" w:themeShade="BF"/>
          <w:sz w:val="24"/>
          <w:szCs w:val="24"/>
          <w:lang w:val="ru-RU" w:eastAsia="en-US"/>
        </w:rPr>
        <w:t>Дистанционный этап</w:t>
      </w:r>
      <w:bookmarkEnd w:id="56"/>
    </w:p>
    <w:p w:rsidR="001A05E2" w:rsidRDefault="007944CA" w:rsidP="00A0779B">
      <w:pPr>
        <w:pStyle w:val="1"/>
        <w:numPr>
          <w:ilvl w:val="2"/>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57" w:name="_Toc80952291"/>
      <w:r>
        <w:rPr>
          <w:rFonts w:ascii="Times New Roman" w:eastAsiaTheme="majorEastAsia" w:hAnsi="Times New Roman" w:cs="Times New Roman"/>
          <w:b/>
          <w:bCs/>
          <w:color w:val="365F91" w:themeColor="accent1" w:themeShade="BF"/>
          <w:sz w:val="24"/>
          <w:szCs w:val="24"/>
          <w:lang w:val="ru-RU" w:eastAsia="en-US"/>
        </w:rPr>
        <w:t xml:space="preserve">Всероссийский </w:t>
      </w:r>
      <w:proofErr w:type="spellStart"/>
      <w:r>
        <w:rPr>
          <w:rFonts w:ascii="Times New Roman" w:eastAsiaTheme="majorEastAsia" w:hAnsi="Times New Roman" w:cs="Times New Roman"/>
          <w:b/>
          <w:bCs/>
          <w:color w:val="365F91" w:themeColor="accent1" w:themeShade="BF"/>
          <w:sz w:val="24"/>
          <w:szCs w:val="24"/>
          <w:lang w:val="ru-RU" w:eastAsia="en-US"/>
        </w:rPr>
        <w:t>профориентационный</w:t>
      </w:r>
      <w:proofErr w:type="spellEnd"/>
      <w:r>
        <w:rPr>
          <w:rFonts w:ascii="Times New Roman" w:eastAsiaTheme="majorEastAsia" w:hAnsi="Times New Roman" w:cs="Times New Roman"/>
          <w:b/>
          <w:bCs/>
          <w:color w:val="365F91" w:themeColor="accent1" w:themeShade="BF"/>
          <w:sz w:val="24"/>
          <w:szCs w:val="24"/>
          <w:lang w:val="ru-RU" w:eastAsia="en-US"/>
        </w:rPr>
        <w:t xml:space="preserve"> онлайн-урок</w:t>
      </w:r>
      <w:bookmarkEnd w:id="57"/>
      <w:r>
        <w:rPr>
          <w:rFonts w:ascii="Times New Roman" w:eastAsiaTheme="majorEastAsia" w:hAnsi="Times New Roman" w:cs="Times New Roman"/>
          <w:b/>
          <w:bCs/>
          <w:color w:val="365F91" w:themeColor="accent1" w:themeShade="BF"/>
          <w:sz w:val="24"/>
          <w:szCs w:val="24"/>
          <w:lang w:val="ru-RU" w:eastAsia="en-US"/>
        </w:rPr>
        <w:t xml:space="preserve">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Всероссийский </w:t>
      </w:r>
      <w:proofErr w:type="spellStart"/>
      <w:r>
        <w:rPr>
          <w:rFonts w:ascii="Times New Roman" w:eastAsia="Times New Roman" w:hAnsi="Times New Roman" w:cs="Times New Roman"/>
          <w:sz w:val="24"/>
          <w:szCs w:val="24"/>
        </w:rPr>
        <w:t>профориентационный</w:t>
      </w:r>
      <w:proofErr w:type="spellEnd"/>
      <w:r>
        <w:rPr>
          <w:rFonts w:ascii="Times New Roman" w:eastAsia="Times New Roman" w:hAnsi="Times New Roman" w:cs="Times New Roman"/>
          <w:sz w:val="24"/>
          <w:szCs w:val="24"/>
        </w:rPr>
        <w:t xml:space="preserve"> онлайн-урок (далее – Урок) в рамках Всероссийской профориентационной недели. Тематика каждого Урока направлена на раннюю профориентацию школьников и определена с учетом долгосрочного прогноза научно-технологического развития России до 2030 год</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rPr>
        <w:t>.  Продолжительность Урока 40-60 минут. В каждый Урок встроены интерактивные элементы – вопросы по теме урока, опрос с целью организации взаимодействия педагога-навигатора с</w:t>
      </w:r>
      <w:r>
        <w:rPr>
          <w:rFonts w:ascii="Times New Roman" w:eastAsia="Times New Roman" w:hAnsi="Times New Roman" w:cs="Times New Roman"/>
          <w:sz w:val="24"/>
          <w:szCs w:val="24"/>
          <w:lang w:val="ru-RU"/>
        </w:rPr>
        <w:t xml:space="preserve"> </w:t>
      </w:r>
      <w:proofErr w:type="gramStart"/>
      <w:r>
        <w:rPr>
          <w:rFonts w:ascii="Times New Roman" w:eastAsia="Times New Roman" w:hAnsi="Times New Roman" w:cs="Times New Roman"/>
          <w:sz w:val="24"/>
          <w:szCs w:val="24"/>
          <w:lang w:val="ru-RU"/>
        </w:rPr>
        <w:t>обучающимися</w:t>
      </w:r>
      <w:proofErr w:type="gramEnd"/>
      <w:r>
        <w:rPr>
          <w:rFonts w:ascii="Times New Roman" w:eastAsia="Times New Roman" w:hAnsi="Times New Roman" w:cs="Times New Roman"/>
          <w:sz w:val="24"/>
          <w:szCs w:val="24"/>
        </w:rPr>
        <w:t>.</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Профориентационные</w:t>
      </w:r>
      <w:proofErr w:type="spellEnd"/>
      <w:r>
        <w:rPr>
          <w:rFonts w:ascii="Times New Roman" w:eastAsia="Times New Roman" w:hAnsi="Times New Roman" w:cs="Times New Roman"/>
          <w:sz w:val="24"/>
          <w:szCs w:val="24"/>
        </w:rPr>
        <w:t xml:space="preserve"> Уроки будут размещены на Платформе вместе с инструктивно-методическими материалами (ИММ) для самостоятельного проведения Урока в образовательной организации.</w:t>
      </w:r>
    </w:p>
    <w:p w:rsidR="001A05E2" w:rsidRDefault="007944CA" w:rsidP="00A0779B">
      <w:pPr>
        <w:pStyle w:val="1"/>
        <w:numPr>
          <w:ilvl w:val="2"/>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58" w:name="_Toc80952292"/>
      <w:r>
        <w:rPr>
          <w:rFonts w:ascii="Times New Roman" w:eastAsiaTheme="majorEastAsia" w:hAnsi="Times New Roman" w:cs="Times New Roman"/>
          <w:b/>
          <w:bCs/>
          <w:color w:val="365F91" w:themeColor="accent1" w:themeShade="BF"/>
          <w:sz w:val="24"/>
          <w:szCs w:val="24"/>
          <w:lang w:val="ru-RU" w:eastAsia="en-US"/>
        </w:rPr>
        <w:t>Онлайн-диагностика</w:t>
      </w:r>
      <w:bookmarkEnd w:id="58"/>
      <w:r>
        <w:rPr>
          <w:rFonts w:ascii="Times New Roman" w:eastAsiaTheme="majorEastAsia" w:hAnsi="Times New Roman" w:cs="Times New Roman"/>
          <w:b/>
          <w:bCs/>
          <w:color w:val="365F91" w:themeColor="accent1" w:themeShade="BF"/>
          <w:sz w:val="24"/>
          <w:szCs w:val="24"/>
          <w:lang w:val="ru-RU" w:eastAsia="en-US"/>
        </w:rPr>
        <w:t xml:space="preserve">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Онлайн-диагностика каждого обучающегося производится на нескольких уровнях, что позволяет определить требуемый объем профориентационной помощи и сформировать дальнейшую индивидуальную траекторию участия в Проекте.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Результаты диагностики (отчет автоматически формируется в личном кабинете ученика) носят рекомендательный и обучающий характер. Решение по построению индивидуальной образовательно-профессиональной траектории принимает сам обучающийся.</w:t>
      </w:r>
    </w:p>
    <w:p w:rsidR="001A05E2" w:rsidRDefault="007944CA" w:rsidP="00A0779B">
      <w:pPr>
        <w:pStyle w:val="1"/>
        <w:numPr>
          <w:ilvl w:val="2"/>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59" w:name="_Toc80952293"/>
      <w:r>
        <w:rPr>
          <w:rFonts w:ascii="Times New Roman" w:eastAsiaTheme="majorEastAsia" w:hAnsi="Times New Roman" w:cs="Times New Roman"/>
          <w:b/>
          <w:bCs/>
          <w:color w:val="365F91" w:themeColor="accent1" w:themeShade="BF"/>
          <w:sz w:val="24"/>
          <w:szCs w:val="24"/>
          <w:lang w:val="ru-RU" w:eastAsia="en-US"/>
        </w:rPr>
        <w:t>Образовательная программа для педагогов-навигаторов</w:t>
      </w:r>
      <w:bookmarkEnd w:id="59"/>
      <w:r>
        <w:rPr>
          <w:rFonts w:ascii="Times New Roman" w:eastAsiaTheme="majorEastAsia" w:hAnsi="Times New Roman" w:cs="Times New Roman"/>
          <w:b/>
          <w:bCs/>
          <w:color w:val="365F91" w:themeColor="accent1" w:themeShade="BF"/>
          <w:sz w:val="24"/>
          <w:szCs w:val="24"/>
          <w:lang w:val="ru-RU" w:eastAsia="en-US"/>
        </w:rPr>
        <w:t xml:space="preserve">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Образовательная программа для педагогов-навигаторов (программа повышения квалификации). Отбор слушателей производится в соответствии с Рекомендациями, которые разрабатывает Оператор проекта. Продолжительность программы – не менее 36 </w:t>
      </w:r>
      <w:proofErr w:type="spellStart"/>
      <w:r>
        <w:rPr>
          <w:rFonts w:ascii="Times New Roman" w:eastAsia="Times New Roman" w:hAnsi="Times New Roman" w:cs="Times New Roman"/>
          <w:sz w:val="24"/>
          <w:szCs w:val="24"/>
        </w:rPr>
        <w:t>ак</w:t>
      </w:r>
      <w:proofErr w:type="spellEnd"/>
      <w:r>
        <w:rPr>
          <w:rFonts w:ascii="Times New Roman" w:eastAsia="Times New Roman" w:hAnsi="Times New Roman" w:cs="Times New Roman"/>
          <w:sz w:val="24"/>
          <w:szCs w:val="24"/>
        </w:rPr>
        <w:t xml:space="preserve">. часов, онлайн-формат обучения. </w:t>
      </w:r>
      <w:r>
        <w:rPr>
          <w:rFonts w:ascii="Times New Roman" w:eastAsia="Times New Roman" w:hAnsi="Times New Roman" w:cs="Times New Roman"/>
          <w:sz w:val="24"/>
          <w:szCs w:val="24"/>
          <w:lang w:val="ru-RU"/>
        </w:rPr>
        <w:t>Программа включает модули</w:t>
      </w:r>
      <w:r>
        <w:rPr>
          <w:rFonts w:ascii="Times New Roman" w:eastAsia="Times New Roman" w:hAnsi="Times New Roman" w:cs="Times New Roman"/>
          <w:sz w:val="24"/>
          <w:szCs w:val="24"/>
        </w:rPr>
        <w:t>:</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теоретическая (лекционная) часть в формате </w:t>
      </w:r>
      <w:proofErr w:type="spellStart"/>
      <w:r>
        <w:rPr>
          <w:rFonts w:ascii="Times New Roman" w:hAnsi="Times New Roman" w:cs="Times New Roman"/>
          <w:sz w:val="24"/>
          <w:szCs w:val="24"/>
        </w:rPr>
        <w:t>видеолекций</w:t>
      </w:r>
      <w:proofErr w:type="spellEnd"/>
      <w:r>
        <w:rPr>
          <w:rFonts w:ascii="Times New Roman" w:hAnsi="Times New Roman" w:cs="Times New Roman"/>
          <w:sz w:val="24"/>
          <w:szCs w:val="24"/>
        </w:rPr>
        <w:t>, не менее 12 академических часов;</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практико-консультационная часть в формате онлайн-консультаций, не менее 12 академических часов;</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 с использованием методических материалов образовательной программы, не менее 10 академических часов;</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формате диагностического онлайн-тестирования и анкетирования (проверка теоретических знаний и практических навыков), в объеме не менее 2 академических часов с учетом самостоятельной подготовки к аттестации.</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информационно-технического сопровождения реализации программы </w:t>
      </w:r>
      <w:r>
        <w:rPr>
          <w:rFonts w:ascii="Times New Roman" w:eastAsia="Times New Roman" w:hAnsi="Times New Roman" w:cs="Times New Roman"/>
          <w:sz w:val="24"/>
          <w:szCs w:val="24"/>
          <w:lang w:val="ru-RU"/>
        </w:rPr>
        <w:t xml:space="preserve">повышения квалификации </w:t>
      </w:r>
      <w:r>
        <w:rPr>
          <w:rFonts w:ascii="Times New Roman" w:eastAsia="Times New Roman" w:hAnsi="Times New Roman" w:cs="Times New Roman"/>
          <w:sz w:val="24"/>
          <w:szCs w:val="24"/>
        </w:rPr>
        <w:t>будет обеспечено: </w:t>
      </w:r>
    </w:p>
    <w:p w:rsidR="001A05E2" w:rsidRDefault="007944CA">
      <w:pPr>
        <w:pStyle w:val="ae"/>
        <w:numPr>
          <w:ilvl w:val="1"/>
          <w:numId w:val="4"/>
        </w:numPr>
        <w:spacing w:line="360" w:lineRule="auto"/>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создание личных кабинетов слушателей на платформе Проекта для свободного изучения материалов в удобное для слушателей Программы время;</w:t>
      </w:r>
    </w:p>
    <w:p w:rsidR="001A05E2" w:rsidRDefault="007944CA">
      <w:pPr>
        <w:pStyle w:val="ae"/>
        <w:numPr>
          <w:ilvl w:val="1"/>
          <w:numId w:val="4"/>
        </w:numPr>
        <w:spacing w:line="360" w:lineRule="auto"/>
        <w:contextualSpacing w:val="0"/>
        <w:jc w:val="both"/>
        <w:rPr>
          <w:rFonts w:ascii="Times New Roman" w:hAnsi="Times New Roman" w:cs="Times New Roman"/>
          <w:sz w:val="24"/>
          <w:szCs w:val="24"/>
          <w:lang w:val="ru-RU"/>
        </w:rPr>
      </w:pPr>
      <w:r>
        <w:rPr>
          <w:rFonts w:ascii="Times New Roman" w:hAnsi="Times New Roman" w:cs="Times New Roman"/>
          <w:sz w:val="24"/>
          <w:szCs w:val="24"/>
          <w:lang w:val="ru-RU"/>
        </w:rPr>
        <w:t>формирование формы/канала обратной связи со слушателями Программы.</w:t>
      </w:r>
    </w:p>
    <w:p w:rsidR="001A05E2" w:rsidRPr="00A0779B" w:rsidRDefault="007944CA">
      <w:pPr>
        <w:spacing w:line="360" w:lineRule="auto"/>
        <w:ind w:firstLine="720"/>
        <w:jc w:val="both"/>
        <w:rPr>
          <w:rFonts w:ascii="Times New Roman" w:eastAsia="Times New Roman" w:hAnsi="Times New Roman" w:cs="Times New Roman"/>
          <w:sz w:val="24"/>
          <w:szCs w:val="24"/>
          <w:lang w:val="ru-RU"/>
        </w:rPr>
      </w:pPr>
      <w:r w:rsidRPr="00A0779B">
        <w:rPr>
          <w:rFonts w:ascii="Times New Roman" w:eastAsia="Times New Roman" w:hAnsi="Times New Roman" w:cs="Times New Roman"/>
          <w:sz w:val="24"/>
          <w:szCs w:val="24"/>
          <w:lang w:val="ru-RU"/>
        </w:rPr>
        <w:t>Слушателям, успешно прошедшим итоговую аттестацию, выдаются документы о повышении квалификации.</w:t>
      </w:r>
    </w:p>
    <w:p w:rsidR="001A05E2" w:rsidRDefault="007944CA" w:rsidP="00A0779B">
      <w:pPr>
        <w:pStyle w:val="1"/>
        <w:numPr>
          <w:ilvl w:val="1"/>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60" w:name="_Toc80952294"/>
      <w:r>
        <w:rPr>
          <w:rFonts w:ascii="Times New Roman" w:eastAsiaTheme="majorEastAsia" w:hAnsi="Times New Roman" w:cs="Times New Roman"/>
          <w:b/>
          <w:bCs/>
          <w:color w:val="365F91" w:themeColor="accent1" w:themeShade="BF"/>
          <w:sz w:val="24"/>
          <w:szCs w:val="24"/>
          <w:lang w:val="ru-RU" w:eastAsia="en-US"/>
        </w:rPr>
        <w:t>Очный этап</w:t>
      </w:r>
      <w:bookmarkEnd w:id="60"/>
    </w:p>
    <w:p w:rsidR="001A05E2" w:rsidRDefault="007944CA" w:rsidP="00A0779B">
      <w:pPr>
        <w:pStyle w:val="1"/>
        <w:numPr>
          <w:ilvl w:val="2"/>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61" w:name="_Toc80952295"/>
      <w:r>
        <w:rPr>
          <w:rFonts w:ascii="Times New Roman" w:eastAsiaTheme="majorEastAsia" w:hAnsi="Times New Roman" w:cs="Times New Roman"/>
          <w:b/>
          <w:bCs/>
          <w:color w:val="365F91" w:themeColor="accent1" w:themeShade="BF"/>
          <w:sz w:val="24"/>
          <w:szCs w:val="24"/>
          <w:lang w:val="ru-RU" w:eastAsia="en-US"/>
        </w:rPr>
        <w:t>Фестиваль профессий</w:t>
      </w:r>
      <w:bookmarkEnd w:id="61"/>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Фестиваль профессий – комплекс профориентационных мероприятий на Площадке по ранней профессиональной ориентации и выбору будущей профессии, предоставляющий возможность участникам проекта познакомиться с перспективными отраслями экономики и рынком труда в Российской Федерации (регионе проведения), получить консультацию экспертов и профессионалов.</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Целью Фестиваля является популяризация профориентационного процесса  за счет привлечения ведущих экспертов-работодателей, представителей опорных вузов и </w:t>
      </w:r>
      <w:proofErr w:type="spellStart"/>
      <w:r>
        <w:rPr>
          <w:rFonts w:ascii="Times New Roman" w:eastAsia="Times New Roman" w:hAnsi="Times New Roman" w:cs="Times New Roman"/>
          <w:sz w:val="24"/>
          <w:szCs w:val="24"/>
          <w:lang w:val="ru-RU"/>
        </w:rPr>
        <w:t>ссузов</w:t>
      </w:r>
      <w:proofErr w:type="spellEnd"/>
      <w:r>
        <w:rPr>
          <w:rFonts w:ascii="Times New Roman" w:eastAsia="Times New Roman" w:hAnsi="Times New Roman" w:cs="Times New Roman"/>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рамках Фестиваля запланирована образовательная программа для школьников, включающая </w:t>
      </w:r>
      <w:proofErr w:type="spellStart"/>
      <w:r>
        <w:rPr>
          <w:rFonts w:ascii="Times New Roman" w:eastAsia="Times New Roman" w:hAnsi="Times New Roman" w:cs="Times New Roman"/>
          <w:sz w:val="24"/>
          <w:szCs w:val="24"/>
          <w:lang w:val="ru-RU"/>
        </w:rPr>
        <w:t>кейсовые</w:t>
      </w:r>
      <w:proofErr w:type="spellEnd"/>
      <w:r>
        <w:rPr>
          <w:rFonts w:ascii="Times New Roman" w:eastAsia="Times New Roman" w:hAnsi="Times New Roman" w:cs="Times New Roman"/>
          <w:sz w:val="24"/>
          <w:szCs w:val="24"/>
          <w:lang w:val="ru-RU"/>
        </w:rPr>
        <w:t xml:space="preserve"> задания, мини-лектории, учебно-ознакомительные материалы по 8 тематическим направлениям Проекта (программа Фестиваля должна быть адаптирована в соответствии со стратегией </w:t>
      </w:r>
      <w:proofErr w:type="gramStart"/>
      <w:r>
        <w:rPr>
          <w:rFonts w:ascii="Times New Roman" w:eastAsia="Times New Roman" w:hAnsi="Times New Roman" w:cs="Times New Roman"/>
          <w:sz w:val="24"/>
          <w:szCs w:val="24"/>
          <w:lang w:val="ru-RU"/>
        </w:rPr>
        <w:t>развития города/региона проведения Фестиваля</w:t>
      </w:r>
      <w:proofErr w:type="gramEnd"/>
      <w:r>
        <w:rPr>
          <w:rFonts w:ascii="Times New Roman" w:eastAsia="Times New Roman" w:hAnsi="Times New Roman" w:cs="Times New Roman"/>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Кейсовые</w:t>
      </w:r>
      <w:proofErr w:type="spellEnd"/>
      <w:r>
        <w:rPr>
          <w:rFonts w:ascii="Times New Roman" w:eastAsia="Times New Roman" w:hAnsi="Times New Roman" w:cs="Times New Roman"/>
          <w:sz w:val="24"/>
          <w:szCs w:val="24"/>
          <w:lang w:val="ru-RU"/>
        </w:rPr>
        <w:t xml:space="preserve"> задания должны быть разработаны по единой методической схеме и должны в </w:t>
      </w:r>
      <w:proofErr w:type="spellStart"/>
      <w:r>
        <w:rPr>
          <w:rFonts w:ascii="Times New Roman" w:eastAsia="Times New Roman" w:hAnsi="Times New Roman" w:cs="Times New Roman"/>
          <w:sz w:val="24"/>
          <w:szCs w:val="24"/>
          <w:lang w:val="ru-RU"/>
        </w:rPr>
        <w:t>деятельностном</w:t>
      </w:r>
      <w:proofErr w:type="spellEnd"/>
      <w:r>
        <w:rPr>
          <w:rFonts w:ascii="Times New Roman" w:eastAsia="Times New Roman" w:hAnsi="Times New Roman" w:cs="Times New Roman"/>
          <w:sz w:val="24"/>
          <w:szCs w:val="24"/>
          <w:lang w:val="ru-RU"/>
        </w:rPr>
        <w:t xml:space="preserve"> ключе знакомить участников Фестиваля профессий с </w:t>
      </w:r>
      <w:r>
        <w:rPr>
          <w:rFonts w:ascii="Times New Roman" w:eastAsia="Times New Roman" w:hAnsi="Times New Roman" w:cs="Times New Roman"/>
          <w:sz w:val="24"/>
          <w:szCs w:val="24"/>
          <w:lang w:val="ru-RU"/>
        </w:rPr>
        <w:lastRenderedPageBreak/>
        <w:t xml:space="preserve">актуальными и востребованными профессиями региона.  </w:t>
      </w:r>
      <w:proofErr w:type="spellStart"/>
      <w:r>
        <w:rPr>
          <w:rFonts w:ascii="Times New Roman" w:eastAsia="Times New Roman" w:hAnsi="Times New Roman" w:cs="Times New Roman"/>
          <w:sz w:val="24"/>
          <w:szCs w:val="24"/>
          <w:lang w:val="ru-RU"/>
        </w:rPr>
        <w:t>Кейсовое</w:t>
      </w:r>
      <w:proofErr w:type="spellEnd"/>
      <w:r>
        <w:rPr>
          <w:rFonts w:ascii="Times New Roman" w:eastAsia="Times New Roman" w:hAnsi="Times New Roman" w:cs="Times New Roman"/>
          <w:sz w:val="24"/>
          <w:szCs w:val="24"/>
          <w:lang w:val="ru-RU"/>
        </w:rPr>
        <w:t xml:space="preserve"> задание должно предусматривать командную работу, состав команды 5-10 человек.</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При выборе профессий и разработке </w:t>
      </w:r>
      <w:proofErr w:type="spellStart"/>
      <w:r>
        <w:rPr>
          <w:rFonts w:ascii="Times New Roman" w:eastAsia="Times New Roman" w:hAnsi="Times New Roman" w:cs="Times New Roman"/>
          <w:sz w:val="24"/>
          <w:szCs w:val="24"/>
          <w:lang w:val="ru-RU"/>
        </w:rPr>
        <w:t>кейсовых</w:t>
      </w:r>
      <w:proofErr w:type="spellEnd"/>
      <w:r>
        <w:rPr>
          <w:rFonts w:ascii="Times New Roman" w:eastAsia="Times New Roman" w:hAnsi="Times New Roman" w:cs="Times New Roman"/>
          <w:sz w:val="24"/>
          <w:szCs w:val="24"/>
          <w:lang w:val="ru-RU"/>
        </w:rPr>
        <w:t xml:space="preserve"> заданий необходимо учитывать, что данные профессии являются востребованными в данном регионе, а также соответствуют тому тематическому направлению, в котором представлены.</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Мини-лекторий – это формат быстрого погружения в тематику направления, который знакомит обучающихся с трендами тематического направления, основными проектами и стратегическими вызовами, над которыми работают профессионалы проекта, а также набором знаний и навыков для успешного построения карьерного трека.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Мини-лекторий состоит из тематического ролика и/или выступления спикера, продолжительность 5-10 минут, содержание лекции должно отражать:</w:t>
      </w:r>
    </w:p>
    <w:p w:rsidR="001A05E2" w:rsidRDefault="007944CA">
      <w:pPr>
        <w:pStyle w:val="ae"/>
        <w:numPr>
          <w:ilvl w:val="0"/>
          <w:numId w:val="3"/>
        </w:numPr>
        <w:spacing w:line="360" w:lineRule="auto"/>
        <w:contextualSpacing w:val="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информирование обучающихся о роли тематического направления в структуре национальной экономики и экономике субъекта, об основных тенденциях отрасли и требованиях к работникам, условиях труда и особенностях профессии;</w:t>
      </w:r>
    </w:p>
    <w:p w:rsidR="001A05E2" w:rsidRDefault="007944CA">
      <w:pPr>
        <w:pStyle w:val="ae"/>
        <w:numPr>
          <w:ilvl w:val="0"/>
          <w:numId w:val="3"/>
        </w:numPr>
        <w:spacing w:line="360" w:lineRule="auto"/>
        <w:contextualSpacing w:val="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формирования интереса к самоопределению, профессиональному выбору и построению карьерной траектории с фокусом на субъект РФ.</w:t>
      </w:r>
    </w:p>
    <w:p w:rsidR="001A05E2" w:rsidRDefault="007944CA" w:rsidP="00A0779B">
      <w:pPr>
        <w:pStyle w:val="1"/>
        <w:numPr>
          <w:ilvl w:val="2"/>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62" w:name="_Toc80952296"/>
      <w:r>
        <w:rPr>
          <w:rFonts w:ascii="Times New Roman" w:eastAsiaTheme="majorEastAsia" w:hAnsi="Times New Roman" w:cs="Times New Roman"/>
          <w:b/>
          <w:bCs/>
          <w:color w:val="365F91" w:themeColor="accent1" w:themeShade="BF"/>
          <w:sz w:val="24"/>
          <w:szCs w:val="24"/>
          <w:lang w:val="ru-RU" w:eastAsia="en-US"/>
        </w:rPr>
        <w:t>Мультимедийная выставка-практикум</w:t>
      </w:r>
      <w:bookmarkEnd w:id="62"/>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Мультимедийная выставка-практикум (далее – Выставка) – это специально организованная экспозиция на базе площадок Исторических парков «Россия – моя история» (далее – площадка Выставки).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Выставка носит информационный, просветительский, мотивационно-развлекательный и практико-ориентированный характер и адаптирована под региональную целевую аудиторию.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Мультимедийная выставка-практикум представляет собой интерактивную экспозицию с использованием мультимедийных технологий по ранней профессиональной ориентации и выбору будущей профессии, предоставляющая возможность участникам проекта познакомиться с перспективными отраслями экономики, получить консультацию и поучаствовать в профориентационных мероприятиях.</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Программа Выставки включает теоретичную и практическую часть.</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Продолжительность программы Выставки должна составлять не более 3 </w:t>
      </w:r>
      <w:proofErr w:type="spellStart"/>
      <w:r>
        <w:rPr>
          <w:rFonts w:ascii="Times New Roman" w:eastAsia="Times New Roman" w:hAnsi="Times New Roman" w:cs="Times New Roman"/>
          <w:sz w:val="24"/>
          <w:szCs w:val="24"/>
          <w:lang w:val="ru-RU"/>
        </w:rPr>
        <w:t>ак</w:t>
      </w:r>
      <w:proofErr w:type="gramStart"/>
      <w:r>
        <w:rPr>
          <w:rFonts w:ascii="Times New Roman" w:eastAsia="Times New Roman" w:hAnsi="Times New Roman" w:cs="Times New Roman"/>
          <w:sz w:val="24"/>
          <w:szCs w:val="24"/>
          <w:lang w:val="ru-RU"/>
        </w:rPr>
        <w:t>.ч</w:t>
      </w:r>
      <w:proofErr w:type="gramEnd"/>
      <w:r>
        <w:rPr>
          <w:rFonts w:ascii="Times New Roman" w:eastAsia="Times New Roman" w:hAnsi="Times New Roman" w:cs="Times New Roman"/>
          <w:sz w:val="24"/>
          <w:szCs w:val="24"/>
          <w:lang w:val="ru-RU"/>
        </w:rPr>
        <w:t>асов</w:t>
      </w:r>
      <w:proofErr w:type="spellEnd"/>
      <w:r>
        <w:rPr>
          <w:rFonts w:ascii="Times New Roman" w:eastAsia="Times New Roman" w:hAnsi="Times New Roman" w:cs="Times New Roman"/>
          <w:sz w:val="24"/>
          <w:szCs w:val="24"/>
          <w:lang w:val="ru-RU"/>
        </w:rPr>
        <w:t xml:space="preserve"> (не включает время на организационные мероприятия и логистику), рекомендуемый </w:t>
      </w:r>
      <w:proofErr w:type="spellStart"/>
      <w:r>
        <w:rPr>
          <w:rFonts w:ascii="Times New Roman" w:eastAsia="Times New Roman" w:hAnsi="Times New Roman" w:cs="Times New Roman"/>
          <w:sz w:val="24"/>
          <w:szCs w:val="24"/>
          <w:lang w:val="ru-RU"/>
        </w:rPr>
        <w:t>тайминг</w:t>
      </w:r>
      <w:proofErr w:type="spellEnd"/>
      <w:r>
        <w:rPr>
          <w:rFonts w:ascii="Times New Roman" w:eastAsia="Times New Roman" w:hAnsi="Times New Roman" w:cs="Times New Roman"/>
          <w:sz w:val="24"/>
          <w:szCs w:val="24"/>
          <w:lang w:val="ru-RU"/>
        </w:rPr>
        <w:t>:</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теоретическая часть – 60 мин.;</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рефлексия – 5 мин.;</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практическая часть – 60 мин.;</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рефлексия – 10 мин.</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Формат участия обучающихся – групповой, рекомендованное количество участников группы 25-30 человек (один класс или группа обучающихся из одной образовательной организации).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rPr>
        <w:drawing>
          <wp:anchor distT="0" distB="0" distL="114300" distR="114300" simplePos="0" relativeHeight="251660288" behindDoc="0" locked="0" layoutInCell="1" allowOverlap="1" wp14:anchorId="5059E916" wp14:editId="244FCB48">
            <wp:simplePos x="0" y="0"/>
            <wp:positionH relativeFrom="column">
              <wp:posOffset>72390</wp:posOffset>
            </wp:positionH>
            <wp:positionV relativeFrom="paragraph">
              <wp:posOffset>493395</wp:posOffset>
            </wp:positionV>
            <wp:extent cx="5602605" cy="3438525"/>
            <wp:effectExtent l="0" t="0" r="0" b="952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02605" cy="3438525"/>
                    </a:xfrm>
                    <a:prstGeom prst="rect">
                      <a:avLst/>
                    </a:prstGeom>
                    <a:noFill/>
                  </pic:spPr>
                </pic:pic>
              </a:graphicData>
            </a:graphic>
          </wp:anchor>
        </w:drawing>
      </w:r>
      <w:r>
        <w:rPr>
          <w:rFonts w:ascii="Times New Roman" w:eastAsia="Times New Roman" w:hAnsi="Times New Roman" w:cs="Times New Roman"/>
          <w:sz w:val="24"/>
          <w:szCs w:val="24"/>
          <w:lang w:val="ru-RU"/>
        </w:rPr>
        <w:t>Схема образовательной программы Выставки:</w:t>
      </w:r>
    </w:p>
    <w:p w:rsidR="001A05E2" w:rsidRDefault="001A05E2">
      <w:pPr>
        <w:spacing w:line="360" w:lineRule="auto"/>
        <w:ind w:firstLine="720"/>
        <w:jc w:val="both"/>
        <w:rPr>
          <w:rFonts w:ascii="Times New Roman" w:eastAsia="Times New Roman" w:hAnsi="Times New Roman" w:cs="Times New Roman"/>
          <w:sz w:val="24"/>
          <w:szCs w:val="24"/>
          <w:lang w:val="ru-RU"/>
        </w:rPr>
      </w:pPr>
    </w:p>
    <w:p w:rsidR="001A05E2" w:rsidRDefault="007944CA" w:rsidP="00A0779B">
      <w:pPr>
        <w:pStyle w:val="1"/>
        <w:numPr>
          <w:ilvl w:val="3"/>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63" w:name="_Toc80952297"/>
      <w:r>
        <w:rPr>
          <w:rFonts w:ascii="Times New Roman" w:eastAsiaTheme="majorEastAsia" w:hAnsi="Times New Roman" w:cs="Times New Roman"/>
          <w:b/>
          <w:bCs/>
          <w:color w:val="365F91" w:themeColor="accent1" w:themeShade="BF"/>
          <w:sz w:val="24"/>
          <w:szCs w:val="24"/>
          <w:lang w:val="ru-RU" w:eastAsia="en-US"/>
        </w:rPr>
        <w:t>Теоретическая часть</w:t>
      </w:r>
      <w:bookmarkEnd w:id="63"/>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Выставка дает участникам Проекта возможность познакомиться с перспективными отраслями экономики и поучаствовать в выполнении </w:t>
      </w:r>
      <w:proofErr w:type="spellStart"/>
      <w:r>
        <w:rPr>
          <w:rFonts w:ascii="Times New Roman" w:eastAsia="Times New Roman" w:hAnsi="Times New Roman" w:cs="Times New Roman"/>
          <w:sz w:val="24"/>
          <w:szCs w:val="24"/>
          <w:lang w:val="ru-RU"/>
        </w:rPr>
        <w:t>профориентационных</w:t>
      </w:r>
      <w:proofErr w:type="spellEnd"/>
      <w:r>
        <w:rPr>
          <w:rFonts w:ascii="Times New Roman" w:eastAsia="Times New Roman" w:hAnsi="Times New Roman" w:cs="Times New Roman"/>
          <w:sz w:val="24"/>
          <w:szCs w:val="24"/>
          <w:lang w:val="ru-RU"/>
        </w:rPr>
        <w:t xml:space="preserve"> заданий (</w:t>
      </w:r>
      <w:proofErr w:type="spellStart"/>
      <w:r>
        <w:rPr>
          <w:rFonts w:ascii="Times New Roman" w:eastAsia="Times New Roman" w:hAnsi="Times New Roman" w:cs="Times New Roman"/>
          <w:sz w:val="24"/>
          <w:szCs w:val="24"/>
          <w:lang w:val="ru-RU"/>
        </w:rPr>
        <w:t>квестах</w:t>
      </w:r>
      <w:proofErr w:type="spellEnd"/>
      <w:r>
        <w:rPr>
          <w:rFonts w:ascii="Times New Roman" w:eastAsia="Times New Roman" w:hAnsi="Times New Roman" w:cs="Times New Roman"/>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Образовательный</w:t>
      </w:r>
      <w:proofErr w:type="gramEnd"/>
      <w:r>
        <w:rPr>
          <w:rFonts w:ascii="Times New Roman" w:eastAsia="Times New Roman" w:hAnsi="Times New Roman" w:cs="Times New Roman"/>
          <w:sz w:val="24"/>
          <w:szCs w:val="24"/>
          <w:lang w:val="ru-RU"/>
        </w:rPr>
        <w:t xml:space="preserve"> контент Выставки соответствует тематическим направлениям Проекта. Каждый тематический зал предусматривает возможность показа мультимедийного контента и работу с интерактивными экранами.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В каждом зале располагается вводная инсталляция с ознакомительным видеороликом о представленном тематическом направлении. Также в пространстве одного тематического направления представлены мини-зоны с отраслями, которые входят в это направление (не менее 4 отраслей в тематическом направлении). На сенсорных экранах посетители могут решить задания (</w:t>
      </w:r>
      <w:proofErr w:type="spellStart"/>
      <w:r>
        <w:rPr>
          <w:rFonts w:ascii="Times New Roman" w:eastAsia="Times New Roman" w:hAnsi="Times New Roman" w:cs="Times New Roman"/>
          <w:sz w:val="24"/>
          <w:szCs w:val="24"/>
          <w:lang w:val="ru-RU"/>
        </w:rPr>
        <w:t>квесты</w:t>
      </w:r>
      <w:proofErr w:type="spellEnd"/>
      <w:r>
        <w:rPr>
          <w:rFonts w:ascii="Times New Roman" w:eastAsia="Times New Roman" w:hAnsi="Times New Roman" w:cs="Times New Roman"/>
          <w:sz w:val="24"/>
          <w:szCs w:val="24"/>
          <w:lang w:val="ru-RU"/>
        </w:rPr>
        <w:t xml:space="preserve">), посвященные данной отрасли, ознакомиться с дополнительными видеороликами-интервью представителей профессий из данной отрасли, а также ознакомиться с </w:t>
      </w:r>
      <w:proofErr w:type="gramStart"/>
      <w:r>
        <w:rPr>
          <w:rFonts w:ascii="Times New Roman" w:eastAsia="Times New Roman" w:hAnsi="Times New Roman" w:cs="Times New Roman"/>
          <w:sz w:val="24"/>
          <w:szCs w:val="24"/>
          <w:lang w:val="ru-RU"/>
        </w:rPr>
        <w:t>дополнительным</w:t>
      </w:r>
      <w:proofErr w:type="gramEnd"/>
      <w:r>
        <w:rPr>
          <w:rFonts w:ascii="Times New Roman" w:eastAsia="Times New Roman" w:hAnsi="Times New Roman" w:cs="Times New Roman"/>
          <w:sz w:val="24"/>
          <w:szCs w:val="24"/>
          <w:lang w:val="ru-RU"/>
        </w:rPr>
        <w:t xml:space="preserve"> графическим интерактивным контентом по данной отрасли.</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Теоретическая часть программы предусматривает последовательное посещение всех восьми тематических залов каждым участников Проекта, экскурсия проводится в сопровождении </w:t>
      </w:r>
      <w:proofErr w:type="spellStart"/>
      <w:r>
        <w:rPr>
          <w:rFonts w:ascii="Times New Roman" w:eastAsia="Times New Roman" w:hAnsi="Times New Roman" w:cs="Times New Roman"/>
          <w:sz w:val="24"/>
          <w:szCs w:val="24"/>
          <w:lang w:val="ru-RU"/>
        </w:rPr>
        <w:t>тьютора</w:t>
      </w:r>
      <w:proofErr w:type="spellEnd"/>
      <w:r>
        <w:rPr>
          <w:rFonts w:ascii="Times New Roman" w:eastAsia="Times New Roman" w:hAnsi="Times New Roman" w:cs="Times New Roman"/>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Мультимедийный контент для проведения образовательной программы разрабатывает Оператор проекта.</w:t>
      </w:r>
    </w:p>
    <w:p w:rsidR="001A05E2" w:rsidRDefault="007944CA" w:rsidP="00A0779B">
      <w:pPr>
        <w:pStyle w:val="1"/>
        <w:numPr>
          <w:ilvl w:val="3"/>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64" w:name="_Toc80952298"/>
      <w:r>
        <w:rPr>
          <w:rFonts w:ascii="Times New Roman" w:eastAsiaTheme="majorEastAsia" w:hAnsi="Times New Roman" w:cs="Times New Roman"/>
          <w:b/>
          <w:bCs/>
          <w:color w:val="365F91" w:themeColor="accent1" w:themeShade="BF"/>
          <w:sz w:val="24"/>
          <w:szCs w:val="24"/>
          <w:lang w:val="ru-RU" w:eastAsia="en-US"/>
        </w:rPr>
        <w:t>Практическая часть</w:t>
      </w:r>
      <w:bookmarkEnd w:id="64"/>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Практическая часть мультимедийной выставки-практикума  носит информационно-вовлекающий характер, профессиональные  пробы    проходят в </w:t>
      </w:r>
      <w:proofErr w:type="gramStart"/>
      <w:r>
        <w:rPr>
          <w:rFonts w:ascii="Times New Roman" w:eastAsia="Times New Roman" w:hAnsi="Times New Roman" w:cs="Times New Roman"/>
          <w:sz w:val="24"/>
          <w:szCs w:val="24"/>
          <w:lang w:val="ru-RU"/>
        </w:rPr>
        <w:t>экспресс-формате</w:t>
      </w:r>
      <w:proofErr w:type="gram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профпроба</w:t>
      </w:r>
      <w:proofErr w:type="spellEnd"/>
      <w:r>
        <w:rPr>
          <w:rFonts w:ascii="Times New Roman" w:eastAsia="Times New Roman" w:hAnsi="Times New Roman" w:cs="Times New Roman"/>
          <w:sz w:val="24"/>
          <w:szCs w:val="24"/>
          <w:lang w:val="ru-RU"/>
        </w:rPr>
        <w:t xml:space="preserve">), который дает каждому  участнику получить информацию о типах профессиональных задач и проектов в различных областях (мини-лекторий), ознакомиться с профессией в объеме «первого касания» (решение кейса). </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Продолжительность </w:t>
      </w:r>
      <w:proofErr w:type="spellStart"/>
      <w:r>
        <w:rPr>
          <w:rFonts w:ascii="Times New Roman" w:eastAsia="Times New Roman" w:hAnsi="Times New Roman" w:cs="Times New Roman"/>
          <w:sz w:val="24"/>
          <w:szCs w:val="24"/>
          <w:lang w:val="ru-RU"/>
        </w:rPr>
        <w:t>профпробы</w:t>
      </w:r>
      <w:proofErr w:type="spellEnd"/>
      <w:r>
        <w:rPr>
          <w:rFonts w:ascii="Times New Roman" w:eastAsia="Times New Roman" w:hAnsi="Times New Roman" w:cs="Times New Roman"/>
          <w:sz w:val="24"/>
          <w:szCs w:val="24"/>
          <w:lang w:val="ru-RU"/>
        </w:rPr>
        <w:t xml:space="preserve"> в одном тематическом направлении составляет не менее 20 мин. Каждый участник в рамках практической части программы последовательно проходит три </w:t>
      </w:r>
      <w:proofErr w:type="spellStart"/>
      <w:r>
        <w:rPr>
          <w:rFonts w:ascii="Times New Roman" w:eastAsia="Times New Roman" w:hAnsi="Times New Roman" w:cs="Times New Roman"/>
          <w:sz w:val="24"/>
          <w:szCs w:val="24"/>
          <w:lang w:val="ru-RU"/>
        </w:rPr>
        <w:t>профпробы</w:t>
      </w:r>
      <w:proofErr w:type="spellEnd"/>
      <w:r>
        <w:rPr>
          <w:rFonts w:ascii="Times New Roman" w:eastAsia="Times New Roman" w:hAnsi="Times New Roman" w:cs="Times New Roman"/>
          <w:sz w:val="24"/>
          <w:szCs w:val="24"/>
          <w:lang w:val="ru-RU"/>
        </w:rPr>
        <w:t xml:space="preserve"> (работа в малых группах -  командах по 5-10 чел).</w:t>
      </w:r>
    </w:p>
    <w:p w:rsidR="001A05E2" w:rsidRDefault="001A05E2">
      <w:pPr>
        <w:spacing w:line="360" w:lineRule="auto"/>
        <w:ind w:firstLine="720"/>
        <w:jc w:val="both"/>
        <w:rPr>
          <w:rFonts w:ascii="Times New Roman" w:eastAsia="Times New Roman" w:hAnsi="Times New Roman" w:cs="Times New Roman"/>
          <w:sz w:val="24"/>
          <w:szCs w:val="24"/>
          <w:lang w:val="ru-RU"/>
        </w:rPr>
      </w:pP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Схема организации </w:t>
      </w:r>
      <w:proofErr w:type="spellStart"/>
      <w:r>
        <w:rPr>
          <w:rFonts w:ascii="Times New Roman" w:eastAsia="Times New Roman" w:hAnsi="Times New Roman" w:cs="Times New Roman"/>
          <w:sz w:val="24"/>
          <w:szCs w:val="24"/>
          <w:lang w:val="ru-RU"/>
        </w:rPr>
        <w:t>профпроб</w:t>
      </w:r>
      <w:proofErr w:type="spellEnd"/>
      <w:r>
        <w:rPr>
          <w:rFonts w:ascii="Times New Roman" w:eastAsia="Times New Roman" w:hAnsi="Times New Roman" w:cs="Times New Roman"/>
          <w:sz w:val="24"/>
          <w:szCs w:val="24"/>
          <w:lang w:val="ru-RU"/>
        </w:rPr>
        <w:t xml:space="preserve"> на площадке Выставки.</w:t>
      </w:r>
    </w:p>
    <w:p w:rsidR="004065E1"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noProof/>
          <w:sz w:val="24"/>
          <w:szCs w:val="24"/>
          <w:lang w:val="ru-RU"/>
        </w:rPr>
        <w:lastRenderedPageBreak/>
        <w:drawing>
          <wp:anchor distT="0" distB="0" distL="114300" distR="114300" simplePos="0" relativeHeight="251661312" behindDoc="0" locked="0" layoutInCell="1" allowOverlap="1" wp14:anchorId="24365E47" wp14:editId="54CB8A75">
            <wp:simplePos x="0" y="0"/>
            <wp:positionH relativeFrom="column">
              <wp:posOffset>85725</wp:posOffset>
            </wp:positionH>
            <wp:positionV relativeFrom="paragraph">
              <wp:posOffset>-95250</wp:posOffset>
            </wp:positionV>
            <wp:extent cx="5775325" cy="1866900"/>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75325" cy="1866900"/>
                    </a:xfrm>
                    <a:prstGeom prst="rect">
                      <a:avLst/>
                    </a:prstGeom>
                    <a:noFill/>
                  </pic:spPr>
                </pic:pic>
              </a:graphicData>
            </a:graphic>
          </wp:anchor>
        </w:drawing>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2021 году запланированы </w:t>
      </w:r>
      <w:proofErr w:type="spellStart"/>
      <w:r>
        <w:rPr>
          <w:rFonts w:ascii="Times New Roman" w:eastAsia="Times New Roman" w:hAnsi="Times New Roman" w:cs="Times New Roman"/>
          <w:sz w:val="24"/>
          <w:szCs w:val="24"/>
          <w:lang w:val="ru-RU"/>
        </w:rPr>
        <w:t>профпробы</w:t>
      </w:r>
      <w:proofErr w:type="spellEnd"/>
      <w:r>
        <w:rPr>
          <w:rFonts w:ascii="Times New Roman" w:eastAsia="Times New Roman" w:hAnsi="Times New Roman" w:cs="Times New Roman"/>
          <w:sz w:val="24"/>
          <w:szCs w:val="24"/>
          <w:lang w:val="ru-RU"/>
        </w:rPr>
        <w:t xml:space="preserve"> по направлениям, которые соответствуют массовым сегментам рынка труда/приоритетным потребностям при формировании кадрового потенциала региона: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социально-деловое направление (соответствует тематическому направлению  Проекта «социальная», «деловая» и «креативная» среда);</w:t>
      </w:r>
      <w:proofErr w:type="gramEnd"/>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естественно-научное</w:t>
      </w:r>
      <w:proofErr w:type="gramEnd"/>
      <w:r>
        <w:rPr>
          <w:rFonts w:ascii="Times New Roman" w:hAnsi="Times New Roman" w:cs="Times New Roman"/>
          <w:sz w:val="24"/>
          <w:szCs w:val="24"/>
        </w:rPr>
        <w:t xml:space="preserve"> направление (соответствует тематическому направлениям Проекта «здоровая» и «умная» среда);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технологическое направление (соответствует тематическому направлению Проекта «комфортная», «безопасная» и «индустриальная» среда).</w:t>
      </w:r>
      <w:proofErr w:type="gramEnd"/>
    </w:p>
    <w:p w:rsidR="001A05E2" w:rsidRDefault="007944CA" w:rsidP="00A0779B">
      <w:pPr>
        <w:pStyle w:val="1"/>
        <w:numPr>
          <w:ilvl w:val="2"/>
          <w:numId w:val="16"/>
        </w:numPr>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bookmarkStart w:id="65" w:name="_Toc80952299"/>
      <w:r>
        <w:rPr>
          <w:rFonts w:ascii="Times New Roman" w:eastAsiaTheme="majorEastAsia" w:hAnsi="Times New Roman" w:cs="Times New Roman"/>
          <w:b/>
          <w:bCs/>
          <w:color w:val="365F91" w:themeColor="accent1" w:themeShade="BF"/>
          <w:sz w:val="24"/>
          <w:szCs w:val="24"/>
          <w:lang w:val="ru-RU" w:eastAsia="en-US"/>
        </w:rPr>
        <w:t>Мероприятия профессионального выбора</w:t>
      </w:r>
      <w:bookmarkEnd w:id="65"/>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Формат мероприятий профессионального выбора (далее – практикум) реализуется на базе образовательных организаций, в том числе осуществляющих профессиональную подготовку (вузов и </w:t>
      </w:r>
      <w:proofErr w:type="spellStart"/>
      <w:r>
        <w:rPr>
          <w:rFonts w:ascii="Times New Roman" w:eastAsia="Times New Roman" w:hAnsi="Times New Roman" w:cs="Times New Roman"/>
          <w:sz w:val="24"/>
          <w:szCs w:val="24"/>
          <w:lang w:val="ru-RU"/>
        </w:rPr>
        <w:t>ссузов</w:t>
      </w:r>
      <w:proofErr w:type="spellEnd"/>
      <w:r>
        <w:rPr>
          <w:rFonts w:ascii="Times New Roman" w:eastAsia="Times New Roman" w:hAnsi="Times New Roman" w:cs="Times New Roman"/>
          <w:sz w:val="24"/>
          <w:szCs w:val="24"/>
          <w:lang w:val="ru-RU"/>
        </w:rPr>
        <w:t xml:space="preserve">), и организаций дополнительного образования </w:t>
      </w:r>
      <w:proofErr w:type="gramStart"/>
      <w:r>
        <w:rPr>
          <w:rFonts w:ascii="Times New Roman" w:eastAsia="Times New Roman" w:hAnsi="Times New Roman" w:cs="Times New Roman"/>
          <w:sz w:val="24"/>
          <w:szCs w:val="24"/>
          <w:lang w:val="ru-RU"/>
        </w:rPr>
        <w:t>детей</w:t>
      </w:r>
      <w:proofErr w:type="gramEnd"/>
      <w:r>
        <w:rPr>
          <w:rFonts w:ascii="Times New Roman" w:eastAsia="Times New Roman" w:hAnsi="Times New Roman" w:cs="Times New Roman"/>
          <w:sz w:val="24"/>
          <w:szCs w:val="24"/>
          <w:lang w:val="ru-RU"/>
        </w:rPr>
        <w:t xml:space="preserve"> с целью практического погружения обучающихся в задачи, актуальные для субъекта РФ.</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Возможна организация выездной площадки, которая сможет работать на базе общеобразовательной школы, для организации и проведения профессиональных проб.</w:t>
      </w:r>
    </w:p>
    <w:p w:rsidR="001A05E2" w:rsidRDefault="007944CA">
      <w:pPr>
        <w:spacing w:line="360" w:lineRule="auto"/>
        <w:ind w:firstLine="720"/>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 xml:space="preserve">Практикумы рекомендуется проводить в формате профессиональной пробы, подход при формировании задания должен быть ориентирован на расширение границ понимания профессиональных функций и приобретение обучающимися специфического опыта профессиональной деятельности. </w:t>
      </w:r>
      <w:proofErr w:type="gramEnd"/>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Профессиональная проба должна осуществляться в соответствии с трудовым кодексом РФ. При составлении профориентационного задания, которое моделирует элементы конкретного вида профессиональной деятельности, учитываются возрастные особенности </w:t>
      </w:r>
      <w:proofErr w:type="gramStart"/>
      <w:r>
        <w:rPr>
          <w:rFonts w:ascii="Times New Roman" w:eastAsia="Times New Roman" w:hAnsi="Times New Roman" w:cs="Times New Roman"/>
          <w:sz w:val="24"/>
          <w:szCs w:val="24"/>
          <w:lang w:val="ru-RU"/>
        </w:rPr>
        <w:t>обучающихся</w:t>
      </w:r>
      <w:proofErr w:type="gramEnd"/>
      <w:r>
        <w:rPr>
          <w:rFonts w:ascii="Times New Roman" w:eastAsia="Times New Roman" w:hAnsi="Times New Roman" w:cs="Times New Roman"/>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В рамках проведения мероприятий профессионального выбора должна быть обеспечена возможность участия в Проекте детей с ограниченными возможностями здоровья и инвалидностью (ОВЗ), обеспечение безбарьерной архитектурной доступности и специальных условий для прохождения практических мероприятий Проекта в соответствии с паспортом доступности объекта или документом его заменяющим. </w:t>
      </w:r>
    </w:p>
    <w:p w:rsidR="001A05E2" w:rsidRDefault="007944CA">
      <w:pPr>
        <w:spacing w:line="360" w:lineRule="auto"/>
        <w:ind w:firstLine="720"/>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Рекомендуемое соотношение обучающихся для участия в мероприятиях профессионального выбора: 6-7 классы (20%), 8-9 классы (40%), 10-11 классы (40%).</w:t>
      </w:r>
      <w:proofErr w:type="gramEnd"/>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рамках Проекта предусмотрена возможность   проведения мероприятий профессионального выбора в онлайн-формате с учетом рекомендаций, которые разрабатывает Оператор проекта.</w:t>
      </w:r>
    </w:p>
    <w:p w:rsidR="001A05E2" w:rsidRDefault="007944CA" w:rsidP="00A0779B">
      <w:pPr>
        <w:jc w:val="center"/>
        <w:rPr>
          <w:rFonts w:ascii="Times New Roman" w:eastAsiaTheme="majorEastAsia" w:hAnsi="Times New Roman" w:cs="Times New Roman"/>
          <w:b/>
          <w:bCs/>
          <w:color w:val="365F91" w:themeColor="accent1" w:themeShade="BF"/>
          <w:sz w:val="24"/>
          <w:szCs w:val="24"/>
          <w:lang w:val="ru-RU" w:eastAsia="en-US"/>
        </w:rPr>
      </w:pPr>
      <w:r>
        <w:rPr>
          <w:rFonts w:ascii="Times New Roman" w:eastAsia="Times New Roman" w:hAnsi="Times New Roman" w:cs="Times New Roman"/>
          <w:sz w:val="24"/>
          <w:szCs w:val="24"/>
          <w:lang w:val="ru-RU"/>
        </w:rPr>
        <w:br w:type="page"/>
      </w:r>
      <w:bookmarkStart w:id="66" w:name="_Toc80952301"/>
      <w:r>
        <w:rPr>
          <w:rFonts w:ascii="Times New Roman" w:eastAsiaTheme="majorEastAsia" w:hAnsi="Times New Roman" w:cs="Times New Roman"/>
          <w:b/>
          <w:bCs/>
          <w:color w:val="365F91" w:themeColor="accent1" w:themeShade="BF"/>
          <w:sz w:val="24"/>
          <w:szCs w:val="24"/>
          <w:lang w:val="ru-RU" w:eastAsia="en-US"/>
        </w:rPr>
        <w:lastRenderedPageBreak/>
        <w:t>Приложения</w:t>
      </w:r>
      <w:bookmarkEnd w:id="66"/>
    </w:p>
    <w:p w:rsidR="001A05E2" w:rsidRDefault="001A05E2" w:rsidP="00A0779B">
      <w:pPr>
        <w:pStyle w:val="ae"/>
        <w:keepNext/>
        <w:keepLines/>
        <w:numPr>
          <w:ilvl w:val="0"/>
          <w:numId w:val="16"/>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67" w:name="_Toc79573770"/>
      <w:bookmarkStart w:id="68" w:name="_Toc79573941"/>
      <w:bookmarkStart w:id="69" w:name="_Toc79573722"/>
      <w:bookmarkStart w:id="70" w:name="_Toc79573692"/>
      <w:bookmarkStart w:id="71" w:name="_Toc79670568"/>
      <w:bookmarkStart w:id="72" w:name="_Toc79574669"/>
      <w:bookmarkStart w:id="73" w:name="_Toc79573971"/>
      <w:bookmarkStart w:id="74" w:name="_Toc80952302"/>
      <w:bookmarkEnd w:id="67"/>
      <w:bookmarkEnd w:id="68"/>
      <w:bookmarkEnd w:id="69"/>
      <w:bookmarkEnd w:id="70"/>
      <w:bookmarkEnd w:id="71"/>
      <w:bookmarkEnd w:id="72"/>
      <w:bookmarkEnd w:id="73"/>
      <w:bookmarkEnd w:id="74"/>
    </w:p>
    <w:p w:rsidR="001A05E2" w:rsidRDefault="001A05E2" w:rsidP="00A0779B">
      <w:pPr>
        <w:pStyle w:val="ae"/>
        <w:keepNext/>
        <w:keepLines/>
        <w:numPr>
          <w:ilvl w:val="0"/>
          <w:numId w:val="16"/>
        </w:numPr>
        <w:spacing w:line="360" w:lineRule="auto"/>
        <w:contextualSpacing w:val="0"/>
        <w:jc w:val="both"/>
        <w:outlineLvl w:val="0"/>
        <w:rPr>
          <w:rFonts w:ascii="Times New Roman" w:eastAsiaTheme="majorEastAsia" w:hAnsi="Times New Roman" w:cs="Times New Roman"/>
          <w:b/>
          <w:bCs/>
          <w:vanish/>
          <w:color w:val="365F91" w:themeColor="accent1" w:themeShade="BF"/>
          <w:sz w:val="24"/>
          <w:szCs w:val="24"/>
          <w:lang w:val="ru-RU" w:eastAsia="en-US"/>
        </w:rPr>
      </w:pPr>
      <w:bookmarkStart w:id="75" w:name="_Toc79573942"/>
      <w:bookmarkStart w:id="76" w:name="_Toc79573771"/>
      <w:bookmarkStart w:id="77" w:name="_Toc79573972"/>
      <w:bookmarkStart w:id="78" w:name="_Toc79573693"/>
      <w:bookmarkStart w:id="79" w:name="_Toc79670569"/>
      <w:bookmarkStart w:id="80" w:name="_Toc79573723"/>
      <w:bookmarkStart w:id="81" w:name="_Toc79574670"/>
      <w:bookmarkStart w:id="82" w:name="_Toc80952303"/>
      <w:bookmarkEnd w:id="75"/>
      <w:bookmarkEnd w:id="76"/>
      <w:bookmarkEnd w:id="77"/>
      <w:bookmarkEnd w:id="78"/>
      <w:bookmarkEnd w:id="79"/>
      <w:bookmarkEnd w:id="80"/>
      <w:bookmarkEnd w:id="81"/>
      <w:bookmarkEnd w:id="82"/>
    </w:p>
    <w:p w:rsidR="001A05E2" w:rsidRDefault="001A05E2" w:rsidP="00A0779B">
      <w:pPr>
        <w:pStyle w:val="1"/>
        <w:spacing w:before="0" w:after="0" w:line="360" w:lineRule="auto"/>
        <w:jc w:val="both"/>
        <w:rPr>
          <w:rFonts w:ascii="Times New Roman" w:eastAsiaTheme="majorEastAsia" w:hAnsi="Times New Roman" w:cs="Times New Roman"/>
          <w:b/>
          <w:bCs/>
          <w:color w:val="365F91" w:themeColor="accent1" w:themeShade="BF"/>
          <w:sz w:val="24"/>
          <w:szCs w:val="24"/>
          <w:lang w:val="ru-RU" w:eastAsia="en-US"/>
        </w:rPr>
      </w:pPr>
    </w:p>
    <w:p w:rsidR="001A05E2" w:rsidRDefault="007944CA">
      <w:pPr>
        <w:spacing w:line="36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рамках Проекта в 2021 году запланирована профессиональная ориентация обучающихся по восьми тематическим направлениям (средам):</w:t>
      </w:r>
    </w:p>
    <w:p w:rsidR="001A05E2" w:rsidRDefault="007944CA">
      <w:pPr>
        <w:spacing w:line="36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1) </w:t>
      </w:r>
      <w:r>
        <w:rPr>
          <w:rFonts w:ascii="Times New Roman" w:eastAsia="Times New Roman" w:hAnsi="Times New Roman" w:cs="Times New Roman"/>
          <w:b/>
          <w:sz w:val="24"/>
          <w:szCs w:val="24"/>
        </w:rPr>
        <w:t>Здоровая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Забота о здоровье человека, борьба с болезнями и увеличение продолжительности жизни – это основа любого современного общества (или общества будущего). В это направление входит все, что связано с нашим здоровьем, его охраной и заботой о нем.</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Медицина и телемедицина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Фарма</w:t>
      </w:r>
      <w:proofErr w:type="spellEnd"/>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Биотехнологии (биоинженерия и генетика, исследования, технологии)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Экология</w:t>
      </w:r>
    </w:p>
    <w:p w:rsidR="001A05E2" w:rsidRDefault="007944CA">
      <w:pPr>
        <w:spacing w:line="36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2) </w:t>
      </w:r>
      <w:r>
        <w:rPr>
          <w:rFonts w:ascii="Times New Roman" w:eastAsia="Times New Roman" w:hAnsi="Times New Roman" w:cs="Times New Roman"/>
          <w:b/>
          <w:sz w:val="24"/>
          <w:szCs w:val="24"/>
        </w:rPr>
        <w:t>Комфортная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Человеку необходимо, чтобы пространство вокруг него было комфортным – чтобы близко была вся необходимая инфраструктура, чтобы были удобные и надежные дома, чтобы в них было светло и тепло, чтобы можно было легко добраться из точки</w:t>
      </w:r>
      <w:proofErr w:type="gramStart"/>
      <w:r>
        <w:rPr>
          <w:rFonts w:ascii="Times New Roman" w:eastAsia="Times New Roman" w:hAnsi="Times New Roman" w:cs="Times New Roman"/>
          <w:sz w:val="24"/>
          <w:szCs w:val="24"/>
        </w:rPr>
        <w:t xml:space="preserve"> А</w:t>
      </w:r>
      <w:proofErr w:type="gramEnd"/>
      <w:r>
        <w:rPr>
          <w:rFonts w:ascii="Times New Roman" w:eastAsia="Times New Roman" w:hAnsi="Times New Roman" w:cs="Times New Roman"/>
          <w:sz w:val="24"/>
          <w:szCs w:val="24"/>
        </w:rPr>
        <w:t xml:space="preserve"> в точку Б, чтобы у нас на столе всегда была свежая и вкусная еда, да и, в конце концов, чтобы было красиво вокруг! Кто делает так, чтобы наша жизнь была удобной и приятной?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Строительство, архитектура, благоустройство</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Транспорт, Транспортная инфраструктура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Энергетика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Еда и пищевые технологии (включает агропром)</w:t>
      </w:r>
    </w:p>
    <w:p w:rsidR="001A05E2" w:rsidRDefault="007944CA">
      <w:pPr>
        <w:spacing w:line="36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3) </w:t>
      </w:r>
      <w:r>
        <w:rPr>
          <w:rFonts w:ascii="Times New Roman" w:eastAsia="Times New Roman" w:hAnsi="Times New Roman" w:cs="Times New Roman"/>
          <w:b/>
          <w:sz w:val="24"/>
          <w:szCs w:val="24"/>
        </w:rPr>
        <w:t>Безопасная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 одна из базовых потребностей человека, наравне со здоровьем и комфортом. Что может нанести вред человеку? Стихийные бедствия, техногенные катастрофы аварии, социально-политические конфликты. Кроме того, 21 век принес человеку не только достижения научно-технического прогресса, но и новые проблемы, в том числе изменение климата, экологические катастрофы. Да и никто «не отменял» </w:t>
      </w:r>
      <w:r>
        <w:rPr>
          <w:rFonts w:ascii="Times New Roman" w:eastAsia="Times New Roman" w:hAnsi="Times New Roman" w:cs="Times New Roman"/>
          <w:sz w:val="24"/>
          <w:szCs w:val="24"/>
        </w:rPr>
        <w:lastRenderedPageBreak/>
        <w:t xml:space="preserve">простого хулигана в тёмной подворотне. А как насчет </w:t>
      </w:r>
      <w:proofErr w:type="spellStart"/>
      <w:r>
        <w:rPr>
          <w:rFonts w:ascii="Times New Roman" w:eastAsia="Times New Roman" w:hAnsi="Times New Roman" w:cs="Times New Roman"/>
          <w:sz w:val="24"/>
          <w:szCs w:val="24"/>
        </w:rPr>
        <w:t>кибе</w:t>
      </w:r>
      <w:proofErr w:type="spellEnd"/>
      <w:r>
        <w:rPr>
          <w:rFonts w:ascii="Times New Roman" w:eastAsia="Times New Roman" w:hAnsi="Times New Roman" w:cs="Times New Roman"/>
          <w:sz w:val="24"/>
          <w:szCs w:val="24"/>
          <w:lang w:val="ru-RU"/>
        </w:rPr>
        <w:t>р</w:t>
      </w:r>
      <w:r>
        <w:rPr>
          <w:rFonts w:ascii="Times New Roman" w:eastAsia="Times New Roman" w:hAnsi="Times New Roman" w:cs="Times New Roman"/>
          <w:sz w:val="24"/>
          <w:szCs w:val="24"/>
        </w:rPr>
        <w:t xml:space="preserve">преступников? Кто защитит от всего этого?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Кибер</w:t>
      </w:r>
      <w:proofErr w:type="spellEnd"/>
      <w:r>
        <w:rPr>
          <w:rFonts w:ascii="Times New Roman" w:hAnsi="Times New Roman" w:cs="Times New Roman"/>
          <w:sz w:val="24"/>
          <w:szCs w:val="24"/>
        </w:rPr>
        <w:t xml:space="preserve"> (информационная) безопасность</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МЧС и пожарные</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Полиция, охрана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ВС и ВПК</w:t>
      </w:r>
    </w:p>
    <w:p w:rsidR="001A05E2" w:rsidRDefault="007944CA">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4) </w:t>
      </w:r>
      <w:r>
        <w:rPr>
          <w:rFonts w:ascii="Times New Roman" w:eastAsia="Times New Roman" w:hAnsi="Times New Roman" w:cs="Times New Roman"/>
          <w:b/>
          <w:sz w:val="24"/>
          <w:szCs w:val="24"/>
        </w:rPr>
        <w:t>Умная среда</w:t>
      </w:r>
      <w:r>
        <w:rPr>
          <w:rFonts w:ascii="Times New Roman" w:eastAsia="Times New Roman" w:hAnsi="Times New Roman" w:cs="Times New Roman"/>
          <w:b/>
          <w:sz w:val="24"/>
          <w:szCs w:val="24"/>
          <w:lang w:val="ru-RU"/>
        </w:rPr>
        <w:t>.</w:t>
      </w:r>
      <w:r>
        <w:rPr>
          <w:rFonts w:ascii="Times New Roman" w:eastAsia="Times New Roman" w:hAnsi="Times New Roman" w:cs="Times New Roman"/>
          <w:b/>
          <w:sz w:val="24"/>
          <w:szCs w:val="24"/>
        </w:rPr>
        <w:t xml:space="preserve">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Высокий уровень образования не просто так считается признаком развитого общества, а ученые, исследователи и научные сотрудники – его бесценными «мозгами». Технологии, которые есть у нас сегодня, лекарства и уровень медицины, все наши знания о планете – это все результат работы многих поколений ученых, их исследований и экспериментов. А сколько всего еще предстоит узнать! Но умными сегодня могут быть не только люди – машины тоже существенно «умнеют». Как </w:t>
      </w:r>
      <w:proofErr w:type="spellStart"/>
      <w:r>
        <w:rPr>
          <w:rFonts w:ascii="Times New Roman" w:eastAsia="Times New Roman" w:hAnsi="Times New Roman" w:cs="Times New Roman"/>
          <w:sz w:val="24"/>
          <w:szCs w:val="24"/>
        </w:rPr>
        <w:t>цифровизация</w:t>
      </w:r>
      <w:proofErr w:type="spellEnd"/>
      <w:r>
        <w:rPr>
          <w:rFonts w:ascii="Times New Roman" w:eastAsia="Times New Roman" w:hAnsi="Times New Roman" w:cs="Times New Roman"/>
          <w:sz w:val="24"/>
          <w:szCs w:val="24"/>
        </w:rPr>
        <w:t xml:space="preserve"> влияет на жизнь целого города. Все процессы автоматизируются, создаются огромные базы данных, которые обрабатывают суперкомпьютеры, искусственный интеллект помогает предоставлять все новые и новые сервисы.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Фундаментальная наука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Сфера образования</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Телеком и </w:t>
      </w:r>
      <w:proofErr w:type="gramStart"/>
      <w:r>
        <w:rPr>
          <w:rFonts w:ascii="Times New Roman" w:hAnsi="Times New Roman" w:cs="Times New Roman"/>
          <w:sz w:val="24"/>
          <w:szCs w:val="24"/>
        </w:rPr>
        <w:t>ИТ</w:t>
      </w:r>
      <w:proofErr w:type="gramEnd"/>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ИИ и Робототехника</w:t>
      </w:r>
      <w:r>
        <w:rPr>
          <w:rFonts w:ascii="Times New Roman" w:hAnsi="Times New Roman" w:cs="Times New Roman"/>
          <w:sz w:val="24"/>
          <w:szCs w:val="24"/>
        </w:rPr>
        <w:tab/>
      </w:r>
    </w:p>
    <w:p w:rsidR="001A05E2" w:rsidRDefault="007944CA">
      <w:pPr>
        <w:spacing w:line="36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5) </w:t>
      </w:r>
      <w:r>
        <w:rPr>
          <w:rFonts w:ascii="Times New Roman" w:eastAsia="Times New Roman" w:hAnsi="Times New Roman" w:cs="Times New Roman"/>
          <w:b/>
          <w:sz w:val="24"/>
          <w:szCs w:val="24"/>
        </w:rPr>
        <w:t>Креативная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человек уникален, у каждой страны и народа есть своя история и своя культура. Сохранение и развитие этой культуры, возможность самовыражения и духовного развития, возможность просто делать нашу жизнь ярче и веселее – ключевые моменты для любого общества. Поэтому </w:t>
      </w:r>
      <w:proofErr w:type="gramStart"/>
      <w:r>
        <w:rPr>
          <w:rFonts w:ascii="Times New Roman" w:eastAsia="Times New Roman" w:hAnsi="Times New Roman" w:cs="Times New Roman"/>
          <w:sz w:val="24"/>
          <w:szCs w:val="24"/>
        </w:rPr>
        <w:t>все</w:t>
      </w:r>
      <w:proofErr w:type="gramEnd"/>
      <w:r>
        <w:rPr>
          <w:rFonts w:ascii="Times New Roman" w:eastAsia="Times New Roman" w:hAnsi="Times New Roman" w:cs="Times New Roman"/>
          <w:sz w:val="24"/>
          <w:szCs w:val="24"/>
        </w:rPr>
        <w:t xml:space="preserve"> что связано с искусством, креативом, творчеством является неотъемлемой частью любого гармоничного социума. Более того, часто в самые тяжелые времена именно искусство становится залогом выживания общества!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Искусство (изобразительное, артистическое, литература, музыка)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Дизайн, мода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Медиа (СМИ и </w:t>
      </w:r>
      <w:proofErr w:type="spellStart"/>
      <w:r>
        <w:rPr>
          <w:rFonts w:ascii="Times New Roman" w:hAnsi="Times New Roman" w:cs="Times New Roman"/>
          <w:sz w:val="24"/>
          <w:szCs w:val="24"/>
        </w:rPr>
        <w:t>блогосфера</w:t>
      </w:r>
      <w:proofErr w:type="spellEnd"/>
      <w:r>
        <w:rPr>
          <w:rFonts w:ascii="Times New Roman" w:hAnsi="Times New Roman" w:cs="Times New Roman"/>
          <w:sz w:val="24"/>
          <w:szCs w:val="24"/>
        </w:rPr>
        <w:t>)</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Индустрия развлечений</w:t>
      </w:r>
    </w:p>
    <w:p w:rsidR="001A05E2" w:rsidRDefault="007944CA">
      <w:pPr>
        <w:spacing w:line="36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6) </w:t>
      </w:r>
      <w:r>
        <w:rPr>
          <w:rFonts w:ascii="Times New Roman" w:eastAsia="Times New Roman" w:hAnsi="Times New Roman" w:cs="Times New Roman"/>
          <w:b/>
          <w:sz w:val="24"/>
          <w:szCs w:val="24"/>
        </w:rPr>
        <w:t>Социальная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Человеку испокон веков свойственно собираться в группы, формировать сообщества, города, страны. И, как бы не разрасталось общество, все равно именно межличностное общение остается основой любого социума. Люди помогают друг другу, предлагают друг другу разные услуги, стараются удовлетворять потребности и желания друг друга. Создание общественных благ и помощь человеку – основа социальной среды.</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Сервис и торговля</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Туризм и индустрия гостеприимства</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Социальная сфера </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Волонтерство</w:t>
      </w:r>
      <w:proofErr w:type="spellEnd"/>
    </w:p>
    <w:p w:rsidR="001A05E2" w:rsidRDefault="007944CA">
      <w:pPr>
        <w:spacing w:line="360" w:lineRule="auto"/>
        <w:ind w:firstLine="72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7) </w:t>
      </w:r>
      <w:r>
        <w:rPr>
          <w:rFonts w:ascii="Times New Roman" w:eastAsia="Times New Roman" w:hAnsi="Times New Roman" w:cs="Times New Roman"/>
          <w:b/>
          <w:sz w:val="24"/>
          <w:szCs w:val="24"/>
        </w:rPr>
        <w:t>Деловая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Экономическое развитие и финансовая жизнь общества так же является одним из важнейших факторов в его существовании. Человек, открывший небольшой продуктовый магазин</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или художник, рисующий иллюстрации на заказ – это </w:t>
      </w:r>
      <w:proofErr w:type="gramStart"/>
      <w:r>
        <w:rPr>
          <w:rFonts w:ascii="Times New Roman" w:eastAsia="Times New Roman" w:hAnsi="Times New Roman" w:cs="Times New Roman"/>
          <w:sz w:val="24"/>
          <w:szCs w:val="24"/>
        </w:rPr>
        <w:t>все</w:t>
      </w:r>
      <w:proofErr w:type="gramEnd"/>
      <w:r>
        <w:rPr>
          <w:rFonts w:ascii="Times New Roman" w:eastAsia="Times New Roman" w:hAnsi="Times New Roman" w:cs="Times New Roman"/>
          <w:sz w:val="24"/>
          <w:szCs w:val="24"/>
        </w:rPr>
        <w:t xml:space="preserve"> так или иначе предприниматели, и все они являются неотъемлемой частью здоровой экономики. Крупные бизнесмены и начинающие </w:t>
      </w:r>
      <w:proofErr w:type="spellStart"/>
      <w:r>
        <w:rPr>
          <w:rFonts w:ascii="Times New Roman" w:eastAsia="Times New Roman" w:hAnsi="Times New Roman" w:cs="Times New Roman"/>
          <w:sz w:val="24"/>
          <w:szCs w:val="24"/>
        </w:rPr>
        <w:t>стартаперы</w:t>
      </w:r>
      <w:proofErr w:type="spellEnd"/>
      <w:r>
        <w:rPr>
          <w:rFonts w:ascii="Times New Roman" w:eastAsia="Times New Roman" w:hAnsi="Times New Roman" w:cs="Times New Roman"/>
          <w:sz w:val="24"/>
          <w:szCs w:val="24"/>
        </w:rPr>
        <w:t xml:space="preserve">, банкиры и финансисты – без них невозможно существование экономической системы общества.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Финансы, экономика, банки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Юриспруденция и право</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Госслужащие</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Предпринимательство</w:t>
      </w:r>
    </w:p>
    <w:p w:rsidR="001A05E2" w:rsidRDefault="007944CA">
      <w:pPr>
        <w:pStyle w:val="ae"/>
        <w:spacing w:line="360" w:lineRule="auto"/>
        <w:ind w:firstLine="720"/>
        <w:jc w:val="both"/>
        <w:rPr>
          <w:rFonts w:ascii="Times New Roman" w:hAnsi="Times New Roman" w:cs="Times New Roman"/>
          <w:sz w:val="24"/>
          <w:szCs w:val="24"/>
          <w:lang w:val="ru-RU"/>
        </w:rPr>
      </w:pPr>
      <w:r>
        <w:rPr>
          <w:rFonts w:ascii="Times New Roman" w:eastAsia="Times New Roman" w:hAnsi="Times New Roman" w:cs="Times New Roman"/>
          <w:b/>
          <w:sz w:val="24"/>
          <w:szCs w:val="24"/>
          <w:lang w:val="ru-RU"/>
        </w:rPr>
        <w:t xml:space="preserve">8) </w:t>
      </w:r>
      <w:r>
        <w:rPr>
          <w:rFonts w:ascii="Times New Roman" w:eastAsia="Times New Roman" w:hAnsi="Times New Roman" w:cs="Times New Roman"/>
          <w:b/>
          <w:sz w:val="24"/>
          <w:szCs w:val="24"/>
        </w:rPr>
        <w:t>Индустриальная среда</w:t>
      </w:r>
      <w:r>
        <w:rPr>
          <w:rFonts w:ascii="Times New Roman" w:eastAsia="Times New Roman" w:hAnsi="Times New Roman" w:cs="Times New Roman"/>
          <w:b/>
          <w:sz w:val="24"/>
          <w:szCs w:val="24"/>
          <w:lang w:val="ru-RU"/>
        </w:rPr>
        <w:t>.</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обеспечения жизнедеятельности, обществу необходимы ресурсы и промышленность. Для того</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чтобы строить дома и дороги, обеспечивать их теплом и электричеством, производить технику, автомобили, мебель, электроприборы и вообще все что нас окружает – нужны ресурсы и полезные ископаемые, а также заводы и промышленные предприятия, которые будут из сырья получать необходимые человеку вещи. </w:t>
      </w:r>
    </w:p>
    <w:p w:rsidR="001A05E2" w:rsidRDefault="007944C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Отрасли:</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Тяжелая промышленность</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Машиностроение (авиастроение, автомобилестроение, судостроение)</w:t>
      </w:r>
    </w:p>
    <w:p w:rsidR="001A05E2" w:rsidRDefault="007944CA">
      <w:pPr>
        <w:pStyle w:val="ae"/>
        <w:numPr>
          <w:ilvl w:val="0"/>
          <w:numId w:val="3"/>
        </w:numPr>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Добыча и переработка</w:t>
      </w:r>
    </w:p>
    <w:p w:rsidR="001A05E2" w:rsidRDefault="001A05E2">
      <w:pPr>
        <w:spacing w:line="360" w:lineRule="auto"/>
        <w:ind w:firstLine="720"/>
        <w:jc w:val="both"/>
        <w:rPr>
          <w:rFonts w:ascii="Times New Roman" w:eastAsia="Times New Roman" w:hAnsi="Times New Roman" w:cs="Times New Roman"/>
          <w:sz w:val="24"/>
          <w:szCs w:val="24"/>
          <w:lang w:val="ru-RU"/>
        </w:rPr>
      </w:pPr>
    </w:p>
    <w:p w:rsidR="001A05E2" w:rsidRDefault="007944CA" w:rsidP="00A0779B">
      <w:pPr>
        <w:pStyle w:val="1"/>
        <w:spacing w:before="0" w:after="0" w:line="360" w:lineRule="auto"/>
        <w:ind w:left="993"/>
        <w:jc w:val="both"/>
        <w:rPr>
          <w:rFonts w:ascii="Times New Roman" w:eastAsiaTheme="majorEastAsia" w:hAnsi="Times New Roman" w:cs="Times New Roman"/>
          <w:b/>
          <w:bCs/>
          <w:color w:val="365F91" w:themeColor="accent1" w:themeShade="BF"/>
          <w:sz w:val="24"/>
          <w:szCs w:val="24"/>
          <w:lang w:val="ru-RU" w:eastAsia="en-US"/>
        </w:rPr>
      </w:pPr>
      <w:bookmarkStart w:id="83" w:name="_Toc80952305"/>
      <w:r>
        <w:rPr>
          <w:rFonts w:ascii="Times New Roman" w:eastAsiaTheme="majorEastAsia" w:hAnsi="Times New Roman" w:cs="Times New Roman"/>
          <w:b/>
          <w:bCs/>
          <w:color w:val="365F91" w:themeColor="accent1" w:themeShade="BF"/>
          <w:sz w:val="24"/>
          <w:szCs w:val="24"/>
          <w:lang w:val="ru-RU" w:eastAsia="en-US"/>
        </w:rPr>
        <w:t xml:space="preserve"> Список площадок </w:t>
      </w:r>
      <w:r w:rsidR="00A0779B">
        <w:rPr>
          <w:rFonts w:ascii="Times New Roman" w:eastAsiaTheme="majorEastAsia" w:hAnsi="Times New Roman" w:cs="Times New Roman"/>
          <w:b/>
          <w:bCs/>
          <w:color w:val="365F91" w:themeColor="accent1" w:themeShade="BF"/>
          <w:sz w:val="24"/>
          <w:szCs w:val="24"/>
          <w:lang w:val="ru-RU" w:eastAsia="en-US"/>
        </w:rPr>
        <w:t xml:space="preserve">для посещения </w:t>
      </w:r>
      <w:r>
        <w:rPr>
          <w:rFonts w:ascii="Times New Roman" w:eastAsiaTheme="majorEastAsia" w:hAnsi="Times New Roman" w:cs="Times New Roman"/>
          <w:b/>
          <w:bCs/>
          <w:color w:val="365F91" w:themeColor="accent1" w:themeShade="BF"/>
          <w:sz w:val="24"/>
          <w:szCs w:val="24"/>
          <w:lang w:val="ru-RU" w:eastAsia="en-US"/>
        </w:rPr>
        <w:t>Выставки</w:t>
      </w:r>
      <w:bookmarkEnd w:id="83"/>
    </w:p>
    <w:p w:rsidR="001A05E2" w:rsidRDefault="001A05E2">
      <w:pPr>
        <w:spacing w:line="360" w:lineRule="auto"/>
        <w:ind w:firstLine="720"/>
        <w:jc w:val="both"/>
        <w:rPr>
          <w:rFonts w:ascii="Times New Roman" w:eastAsia="Times New Roman" w:hAnsi="Times New Roman" w:cs="Times New Roman"/>
          <w:sz w:val="24"/>
          <w:szCs w:val="24"/>
          <w:lang w:val="ru-RU"/>
        </w:rPr>
      </w:pPr>
    </w:p>
    <w:tbl>
      <w:tblPr>
        <w:tblW w:w="10916" w:type="dxa"/>
        <w:tblInd w:w="-743" w:type="dxa"/>
        <w:tblLayout w:type="fixed"/>
        <w:tblLook w:val="04A0" w:firstRow="1" w:lastRow="0" w:firstColumn="1" w:lastColumn="0" w:noHBand="0" w:noVBand="1"/>
      </w:tblPr>
      <w:tblGrid>
        <w:gridCol w:w="2127"/>
        <w:gridCol w:w="2977"/>
        <w:gridCol w:w="3685"/>
        <w:gridCol w:w="2127"/>
      </w:tblGrid>
      <w:tr w:rsidR="001A05E2">
        <w:trPr>
          <w:trHeight w:val="99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05E2" w:rsidRDefault="007944CA">
            <w:pPr>
              <w:spacing w:line="240" w:lineRule="auto"/>
              <w:jc w:val="cente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Адрес площадки Выставки</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tcPr>
          <w:p w:rsidR="001A05E2" w:rsidRDefault="007944CA">
            <w:pPr>
              <w:spacing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ru-RU"/>
              </w:rPr>
              <w:t>ФИО директора</w:t>
            </w:r>
            <w:r>
              <w:rPr>
                <w:rFonts w:ascii="Times New Roman" w:eastAsia="Times New Roman" w:hAnsi="Times New Roman" w:cs="Times New Roman"/>
                <w:b/>
                <w:bCs/>
                <w:sz w:val="24"/>
                <w:szCs w:val="24"/>
                <w:lang w:val="en-US"/>
              </w:rPr>
              <w:t>/</w:t>
            </w:r>
          </w:p>
          <w:p w:rsidR="001A05E2" w:rsidRDefault="007944CA">
            <w:pPr>
              <w:spacing w:line="240" w:lineRule="auto"/>
              <w:jc w:val="cente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Контакты</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1A05E2" w:rsidRDefault="007944CA">
            <w:pPr>
              <w:spacing w:line="240" w:lineRule="auto"/>
              <w:jc w:val="cente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 xml:space="preserve">Организация, эксплуатирующая Исторический парк в регионе </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tcPr>
          <w:p w:rsidR="001A05E2" w:rsidRDefault="007944CA">
            <w:pPr>
              <w:spacing w:line="240" w:lineRule="auto"/>
              <w:jc w:val="cente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t>Почтовый адрес эксплуатирующей организации</w:t>
            </w:r>
          </w:p>
        </w:tc>
      </w:tr>
      <w:tr w:rsidR="001A05E2">
        <w:trPr>
          <w:trHeight w:val="1062"/>
        </w:trPr>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rsidR="001A05E2" w:rsidRDefault="007944CA">
            <w:pPr>
              <w:spacing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355029, </w:t>
            </w:r>
            <w:proofErr w:type="spellStart"/>
            <w:r>
              <w:rPr>
                <w:rFonts w:ascii="Times New Roman" w:eastAsia="Times New Roman" w:hAnsi="Times New Roman" w:cs="Times New Roman"/>
                <w:color w:val="000000"/>
                <w:sz w:val="24"/>
                <w:szCs w:val="24"/>
                <w:lang w:val="ru-RU"/>
              </w:rPr>
              <w:t>г</w:t>
            </w:r>
            <w:proofErr w:type="gramStart"/>
            <w:r>
              <w:rPr>
                <w:rFonts w:ascii="Times New Roman" w:eastAsia="Times New Roman" w:hAnsi="Times New Roman" w:cs="Times New Roman"/>
                <w:color w:val="000000"/>
                <w:sz w:val="24"/>
                <w:szCs w:val="24"/>
                <w:lang w:val="ru-RU"/>
              </w:rPr>
              <w:t>.С</w:t>
            </w:r>
            <w:proofErr w:type="gramEnd"/>
            <w:r>
              <w:rPr>
                <w:rFonts w:ascii="Times New Roman" w:eastAsia="Times New Roman" w:hAnsi="Times New Roman" w:cs="Times New Roman"/>
                <w:color w:val="000000"/>
                <w:sz w:val="24"/>
                <w:szCs w:val="24"/>
                <w:lang w:val="ru-RU"/>
              </w:rPr>
              <w:t>таврополь</w:t>
            </w:r>
            <w:proofErr w:type="spellEnd"/>
            <w:r>
              <w:rPr>
                <w:rFonts w:ascii="Times New Roman" w:eastAsia="Times New Roman" w:hAnsi="Times New Roman" w:cs="Times New Roman"/>
                <w:color w:val="000000"/>
                <w:sz w:val="24"/>
                <w:szCs w:val="24"/>
                <w:lang w:val="ru-RU"/>
              </w:rPr>
              <w:t xml:space="preserve">, улица Западный обход, 58в </w:t>
            </w:r>
          </w:p>
        </w:tc>
        <w:tc>
          <w:tcPr>
            <w:tcW w:w="2977" w:type="dxa"/>
            <w:tcBorders>
              <w:top w:val="nil"/>
              <w:left w:val="nil"/>
              <w:bottom w:val="single" w:sz="4" w:space="0" w:color="auto"/>
              <w:right w:val="single" w:sz="4" w:space="0" w:color="auto"/>
            </w:tcBorders>
            <w:shd w:val="clear" w:color="auto" w:fill="FFFFFF" w:themeFill="background1"/>
            <w:vAlign w:val="center"/>
          </w:tcPr>
          <w:p w:rsidR="001A05E2" w:rsidRDefault="007944CA">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Головин Георгий Петрович</w:t>
            </w:r>
          </w:p>
          <w:p w:rsidR="001A05E2" w:rsidRDefault="00C2745E">
            <w:pPr>
              <w:spacing w:line="240" w:lineRule="auto"/>
              <w:jc w:val="center"/>
              <w:rPr>
                <w:rFonts w:ascii="Times New Roman" w:eastAsia="Times New Roman" w:hAnsi="Times New Roman" w:cs="Times New Roman"/>
                <w:color w:val="0563C1"/>
                <w:sz w:val="24"/>
                <w:szCs w:val="24"/>
                <w:u w:val="single"/>
                <w:lang w:val="ru-RU"/>
              </w:rPr>
            </w:pPr>
            <w:hyperlink r:id="rId13" w:history="1">
              <w:r w:rsidR="007944CA">
                <w:rPr>
                  <w:rFonts w:ascii="Times New Roman" w:eastAsia="Times New Roman" w:hAnsi="Times New Roman" w:cs="Times New Roman"/>
                  <w:color w:val="0563C1"/>
                  <w:sz w:val="24"/>
                  <w:szCs w:val="24"/>
                  <w:u w:val="single"/>
                  <w:lang w:val="ru-RU"/>
                </w:rPr>
                <w:t>ggp87@yandex.ru</w:t>
              </w:r>
            </w:hyperlink>
          </w:p>
          <w:p w:rsidR="001A05E2" w:rsidRDefault="007944CA">
            <w:pPr>
              <w:spacing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 (905) 440 43 33</w:t>
            </w:r>
          </w:p>
        </w:tc>
        <w:tc>
          <w:tcPr>
            <w:tcW w:w="3685" w:type="dxa"/>
            <w:tcBorders>
              <w:top w:val="nil"/>
              <w:left w:val="nil"/>
              <w:bottom w:val="single" w:sz="4" w:space="0" w:color="auto"/>
              <w:right w:val="nil"/>
            </w:tcBorders>
            <w:shd w:val="clear" w:color="auto" w:fill="FFFFFF" w:themeFill="background1"/>
            <w:vAlign w:val="center"/>
          </w:tcPr>
          <w:p w:rsidR="001A05E2" w:rsidRDefault="007944CA">
            <w:pPr>
              <w:spacing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ГБУК Ставропольского края "Музейно-выставочный комплекс "Моя страна. Моя история", ИНН  2635232760</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rsidR="001A05E2" w:rsidRDefault="007944CA">
            <w:pPr>
              <w:spacing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355029, </w:t>
            </w:r>
            <w:proofErr w:type="spellStart"/>
            <w:r>
              <w:rPr>
                <w:rFonts w:ascii="Times New Roman" w:eastAsia="Times New Roman" w:hAnsi="Times New Roman" w:cs="Times New Roman"/>
                <w:color w:val="000000"/>
                <w:sz w:val="24"/>
                <w:szCs w:val="24"/>
                <w:lang w:val="ru-RU"/>
              </w:rPr>
              <w:t>г</w:t>
            </w:r>
            <w:proofErr w:type="gramStart"/>
            <w:r>
              <w:rPr>
                <w:rFonts w:ascii="Times New Roman" w:eastAsia="Times New Roman" w:hAnsi="Times New Roman" w:cs="Times New Roman"/>
                <w:color w:val="000000"/>
                <w:sz w:val="24"/>
                <w:szCs w:val="24"/>
                <w:lang w:val="ru-RU"/>
              </w:rPr>
              <w:t>.С</w:t>
            </w:r>
            <w:proofErr w:type="gramEnd"/>
            <w:r>
              <w:rPr>
                <w:rFonts w:ascii="Times New Roman" w:eastAsia="Times New Roman" w:hAnsi="Times New Roman" w:cs="Times New Roman"/>
                <w:color w:val="000000"/>
                <w:sz w:val="24"/>
                <w:szCs w:val="24"/>
                <w:lang w:val="ru-RU"/>
              </w:rPr>
              <w:t>таврополь</w:t>
            </w:r>
            <w:proofErr w:type="spellEnd"/>
            <w:r>
              <w:rPr>
                <w:rFonts w:ascii="Times New Roman" w:eastAsia="Times New Roman" w:hAnsi="Times New Roman" w:cs="Times New Roman"/>
                <w:color w:val="000000"/>
                <w:sz w:val="24"/>
                <w:szCs w:val="24"/>
                <w:lang w:val="ru-RU"/>
              </w:rPr>
              <w:t>, улица Западный обход, 58в</w:t>
            </w:r>
          </w:p>
        </w:tc>
      </w:tr>
      <w:tr w:rsidR="001A05E2">
        <w:trPr>
          <w:trHeight w:val="975"/>
        </w:trPr>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rsidR="001A05E2" w:rsidRDefault="007944CA">
            <w:pPr>
              <w:spacing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357528, </w:t>
            </w:r>
            <w:proofErr w:type="spellStart"/>
            <w:r>
              <w:rPr>
                <w:rFonts w:ascii="Times New Roman" w:eastAsia="Times New Roman" w:hAnsi="Times New Roman" w:cs="Times New Roman"/>
                <w:color w:val="000000"/>
                <w:sz w:val="24"/>
                <w:szCs w:val="24"/>
                <w:lang w:val="ru-RU"/>
              </w:rPr>
              <w:t>г</w:t>
            </w:r>
            <w:proofErr w:type="gramStart"/>
            <w:r>
              <w:rPr>
                <w:rFonts w:ascii="Times New Roman" w:eastAsia="Times New Roman" w:hAnsi="Times New Roman" w:cs="Times New Roman"/>
                <w:color w:val="000000"/>
                <w:sz w:val="24"/>
                <w:szCs w:val="24"/>
                <w:lang w:val="ru-RU"/>
              </w:rPr>
              <w:t>.П</w:t>
            </w:r>
            <w:proofErr w:type="gramEnd"/>
            <w:r>
              <w:rPr>
                <w:rFonts w:ascii="Times New Roman" w:eastAsia="Times New Roman" w:hAnsi="Times New Roman" w:cs="Times New Roman"/>
                <w:color w:val="000000"/>
                <w:sz w:val="24"/>
                <w:szCs w:val="24"/>
                <w:lang w:val="ru-RU"/>
              </w:rPr>
              <w:t>ятигоррск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ул.Кооперативная</w:t>
            </w:r>
            <w:proofErr w:type="spellEnd"/>
            <w:r>
              <w:rPr>
                <w:rFonts w:ascii="Times New Roman" w:eastAsia="Times New Roman" w:hAnsi="Times New Roman" w:cs="Times New Roman"/>
                <w:color w:val="000000"/>
                <w:sz w:val="24"/>
                <w:szCs w:val="24"/>
                <w:lang w:val="ru-RU"/>
              </w:rPr>
              <w:t>, 42</w:t>
            </w:r>
          </w:p>
        </w:tc>
        <w:tc>
          <w:tcPr>
            <w:tcW w:w="2977" w:type="dxa"/>
            <w:tcBorders>
              <w:top w:val="nil"/>
              <w:left w:val="nil"/>
              <w:bottom w:val="single" w:sz="4" w:space="0" w:color="auto"/>
              <w:right w:val="single" w:sz="4" w:space="0" w:color="auto"/>
            </w:tcBorders>
            <w:shd w:val="clear" w:color="auto" w:fill="FFFFFF" w:themeFill="background1"/>
            <w:vAlign w:val="center"/>
          </w:tcPr>
          <w:p w:rsidR="001A05E2" w:rsidRDefault="007944CA">
            <w:pPr>
              <w:spacing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Головин Георгий Петрович</w:t>
            </w:r>
          </w:p>
          <w:p w:rsidR="001A05E2" w:rsidRDefault="00C2745E">
            <w:pPr>
              <w:spacing w:line="240" w:lineRule="auto"/>
              <w:jc w:val="center"/>
              <w:rPr>
                <w:rFonts w:ascii="Times New Roman" w:eastAsia="Times New Roman" w:hAnsi="Times New Roman" w:cs="Times New Roman"/>
                <w:color w:val="0563C1"/>
                <w:sz w:val="24"/>
                <w:szCs w:val="24"/>
                <w:u w:val="single"/>
                <w:lang w:val="ru-RU"/>
              </w:rPr>
            </w:pPr>
            <w:hyperlink r:id="rId14" w:history="1">
              <w:r w:rsidR="007944CA">
                <w:rPr>
                  <w:rFonts w:ascii="Times New Roman" w:eastAsia="Times New Roman" w:hAnsi="Times New Roman" w:cs="Times New Roman"/>
                  <w:color w:val="0563C1"/>
                  <w:sz w:val="24"/>
                  <w:szCs w:val="24"/>
                  <w:u w:val="single"/>
                  <w:lang w:val="ru-RU"/>
                </w:rPr>
                <w:t>ggp87@yandex.ru</w:t>
              </w:r>
            </w:hyperlink>
          </w:p>
          <w:p w:rsidR="001A05E2" w:rsidRDefault="007944CA">
            <w:pPr>
              <w:spacing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8 (905) 440 43 33</w:t>
            </w:r>
          </w:p>
        </w:tc>
        <w:tc>
          <w:tcPr>
            <w:tcW w:w="3685" w:type="dxa"/>
            <w:tcBorders>
              <w:top w:val="nil"/>
              <w:left w:val="nil"/>
              <w:bottom w:val="single" w:sz="4" w:space="0" w:color="auto"/>
              <w:right w:val="nil"/>
            </w:tcBorders>
            <w:shd w:val="clear" w:color="auto" w:fill="FFFFFF" w:themeFill="background1"/>
            <w:vAlign w:val="center"/>
          </w:tcPr>
          <w:p w:rsidR="001A05E2" w:rsidRDefault="007944CA">
            <w:pPr>
              <w:spacing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ГБУК Ставропольского края "Музейно-выставочный комплекс "Моя страна. Моя история", ИНН  2635232760</w:t>
            </w:r>
          </w:p>
        </w:tc>
        <w:tc>
          <w:tcPr>
            <w:tcW w:w="2127" w:type="dxa"/>
            <w:tcBorders>
              <w:top w:val="nil"/>
              <w:left w:val="single" w:sz="4" w:space="0" w:color="auto"/>
              <w:bottom w:val="single" w:sz="4" w:space="0" w:color="auto"/>
              <w:right w:val="single" w:sz="4" w:space="0" w:color="auto"/>
            </w:tcBorders>
            <w:shd w:val="clear" w:color="auto" w:fill="FFFFFF" w:themeFill="background1"/>
            <w:vAlign w:val="center"/>
          </w:tcPr>
          <w:p w:rsidR="001A05E2" w:rsidRDefault="007944CA">
            <w:pPr>
              <w:spacing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355029, </w:t>
            </w:r>
            <w:proofErr w:type="spellStart"/>
            <w:r>
              <w:rPr>
                <w:rFonts w:ascii="Times New Roman" w:eastAsia="Times New Roman" w:hAnsi="Times New Roman" w:cs="Times New Roman"/>
                <w:color w:val="000000"/>
                <w:sz w:val="24"/>
                <w:szCs w:val="24"/>
                <w:lang w:val="ru-RU"/>
              </w:rPr>
              <w:t>г</w:t>
            </w:r>
            <w:proofErr w:type="gramStart"/>
            <w:r>
              <w:rPr>
                <w:rFonts w:ascii="Times New Roman" w:eastAsia="Times New Roman" w:hAnsi="Times New Roman" w:cs="Times New Roman"/>
                <w:color w:val="000000"/>
                <w:sz w:val="24"/>
                <w:szCs w:val="24"/>
                <w:lang w:val="ru-RU"/>
              </w:rPr>
              <w:t>.С</w:t>
            </w:r>
            <w:proofErr w:type="gramEnd"/>
            <w:r>
              <w:rPr>
                <w:rFonts w:ascii="Times New Roman" w:eastAsia="Times New Roman" w:hAnsi="Times New Roman" w:cs="Times New Roman"/>
                <w:color w:val="000000"/>
                <w:sz w:val="24"/>
                <w:szCs w:val="24"/>
                <w:lang w:val="ru-RU"/>
              </w:rPr>
              <w:t>таврополь</w:t>
            </w:r>
            <w:proofErr w:type="spellEnd"/>
            <w:r>
              <w:rPr>
                <w:rFonts w:ascii="Times New Roman" w:eastAsia="Times New Roman" w:hAnsi="Times New Roman" w:cs="Times New Roman"/>
                <w:color w:val="000000"/>
                <w:sz w:val="24"/>
                <w:szCs w:val="24"/>
                <w:lang w:val="ru-RU"/>
              </w:rPr>
              <w:t>, улица Западный обход, 58в</w:t>
            </w:r>
          </w:p>
        </w:tc>
      </w:tr>
    </w:tbl>
    <w:p w:rsidR="001A05E2" w:rsidRDefault="001A05E2">
      <w:pPr>
        <w:spacing w:line="360" w:lineRule="auto"/>
        <w:ind w:firstLine="720"/>
        <w:jc w:val="both"/>
        <w:rPr>
          <w:rFonts w:ascii="Times New Roman" w:eastAsia="Times New Roman" w:hAnsi="Times New Roman" w:cs="Times New Roman"/>
          <w:sz w:val="24"/>
          <w:szCs w:val="24"/>
          <w:lang w:val="ru-RU"/>
        </w:rPr>
      </w:pPr>
    </w:p>
    <w:p w:rsidR="001A05E2" w:rsidRDefault="001A05E2">
      <w:pPr>
        <w:spacing w:line="360" w:lineRule="auto"/>
        <w:ind w:firstLine="720"/>
        <w:jc w:val="both"/>
        <w:rPr>
          <w:rFonts w:ascii="Times New Roman" w:eastAsia="Times New Roman" w:hAnsi="Times New Roman" w:cs="Times New Roman"/>
          <w:sz w:val="24"/>
          <w:szCs w:val="24"/>
          <w:lang w:val="ru-RU"/>
        </w:rPr>
      </w:pPr>
    </w:p>
    <w:p w:rsidR="001A05E2" w:rsidRDefault="001A05E2">
      <w:pPr>
        <w:spacing w:line="360" w:lineRule="auto"/>
        <w:ind w:firstLine="720"/>
        <w:jc w:val="both"/>
        <w:rPr>
          <w:rFonts w:ascii="Times New Roman" w:eastAsia="Times New Roman" w:hAnsi="Times New Roman" w:cs="Times New Roman"/>
          <w:sz w:val="24"/>
          <w:szCs w:val="24"/>
          <w:lang w:val="ru-RU"/>
        </w:rPr>
      </w:pPr>
    </w:p>
    <w:sectPr w:rsidR="001A05E2">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5E" w:rsidRDefault="00C2745E">
      <w:pPr>
        <w:spacing w:line="240" w:lineRule="auto"/>
      </w:pPr>
      <w:r>
        <w:separator/>
      </w:r>
    </w:p>
  </w:endnote>
  <w:endnote w:type="continuationSeparator" w:id="0">
    <w:p w:rsidR="00C2745E" w:rsidRDefault="00C27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81264"/>
    </w:sdtPr>
    <w:sdtEndPr/>
    <w:sdtContent>
      <w:p w:rsidR="007944CA" w:rsidRDefault="007944CA">
        <w:pPr>
          <w:pStyle w:val="a9"/>
          <w:jc w:val="right"/>
        </w:pPr>
        <w:r>
          <w:fldChar w:fldCharType="begin"/>
        </w:r>
        <w:r>
          <w:instrText>PAGE   \* MERGEFORMAT</w:instrText>
        </w:r>
        <w:r>
          <w:fldChar w:fldCharType="separate"/>
        </w:r>
        <w:r w:rsidR="00D62B62" w:rsidRPr="00D62B62">
          <w:rPr>
            <w:noProof/>
            <w:lang w:val="ru-RU"/>
          </w:rPr>
          <w:t>1</w:t>
        </w:r>
        <w:r>
          <w:fldChar w:fldCharType="end"/>
        </w:r>
      </w:p>
    </w:sdtContent>
  </w:sdt>
  <w:p w:rsidR="007944CA" w:rsidRDefault="007944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5E" w:rsidRDefault="00C2745E">
      <w:r>
        <w:separator/>
      </w:r>
    </w:p>
  </w:footnote>
  <w:footnote w:type="continuationSeparator" w:id="0">
    <w:p w:rsidR="00C2745E" w:rsidRDefault="00C27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EF1"/>
    <w:multiLevelType w:val="multilevel"/>
    <w:tmpl w:val="04AA2EF1"/>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5011D85"/>
    <w:multiLevelType w:val="multilevel"/>
    <w:tmpl w:val="05011D8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0D221090"/>
    <w:multiLevelType w:val="multilevel"/>
    <w:tmpl w:val="0D2210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1B320DC5"/>
    <w:multiLevelType w:val="multilevel"/>
    <w:tmpl w:val="1B320DC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B571273"/>
    <w:multiLevelType w:val="multilevel"/>
    <w:tmpl w:val="1B57127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6D3F7E"/>
    <w:multiLevelType w:val="multilevel"/>
    <w:tmpl w:val="2A6D3F7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363E25A9"/>
    <w:multiLevelType w:val="multilevel"/>
    <w:tmpl w:val="363E25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730261"/>
    <w:multiLevelType w:val="multilevel"/>
    <w:tmpl w:val="04EAEAD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602B2A3B"/>
    <w:multiLevelType w:val="multilevel"/>
    <w:tmpl w:val="602B2A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61316DF4"/>
    <w:multiLevelType w:val="multilevel"/>
    <w:tmpl w:val="61316DF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62DE2075"/>
    <w:multiLevelType w:val="multilevel"/>
    <w:tmpl w:val="62DE2075"/>
    <w:lvl w:ilvl="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1">
    <w:nsid w:val="631A1568"/>
    <w:multiLevelType w:val="multilevel"/>
    <w:tmpl w:val="631A156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CE14AFA"/>
    <w:multiLevelType w:val="multilevel"/>
    <w:tmpl w:val="6CE14AFA"/>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8E5193"/>
    <w:multiLevelType w:val="multilevel"/>
    <w:tmpl w:val="708E519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71DC4787"/>
    <w:multiLevelType w:val="multilevel"/>
    <w:tmpl w:val="71DC4787"/>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EC2204C"/>
    <w:multiLevelType w:val="multilevel"/>
    <w:tmpl w:val="7EC2204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12"/>
  </w:num>
  <w:num w:numId="3">
    <w:abstractNumId w:val="10"/>
  </w:num>
  <w:num w:numId="4">
    <w:abstractNumId w:val="1"/>
  </w:num>
  <w:num w:numId="5">
    <w:abstractNumId w:val="5"/>
  </w:num>
  <w:num w:numId="6">
    <w:abstractNumId w:val="13"/>
  </w:num>
  <w:num w:numId="7">
    <w:abstractNumId w:val="8"/>
  </w:num>
  <w:num w:numId="8">
    <w:abstractNumId w:val="2"/>
  </w:num>
  <w:num w:numId="9">
    <w:abstractNumId w:val="15"/>
  </w:num>
  <w:num w:numId="10">
    <w:abstractNumId w:val="9"/>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3"/>
  </w:num>
  <w:num w:numId="13">
    <w:abstractNumId w:val="0"/>
    <w:lvlOverride w:ilvl="0">
      <w:lvl w:ilvl="0">
        <w:numFmt w:val="decimal"/>
        <w:lvlText w:val="%1."/>
        <w:lvlJc w:val="left"/>
      </w:lvl>
    </w:lvlOverride>
  </w:num>
  <w:num w:numId="14">
    <w:abstractNumId w:val="11"/>
    <w:lvlOverride w:ilvl="0">
      <w:lvl w:ilvl="0">
        <w:numFmt w:val="decimal"/>
        <w:lvlText w:val="%1."/>
        <w:lvlJc w:val="left"/>
      </w:lvl>
    </w:lvlOverride>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3D"/>
    <w:rsid w:val="0001336B"/>
    <w:rsid w:val="0002361A"/>
    <w:rsid w:val="00057CC8"/>
    <w:rsid w:val="00084F8C"/>
    <w:rsid w:val="000A553A"/>
    <w:rsid w:val="000B6AAB"/>
    <w:rsid w:val="000C4BB6"/>
    <w:rsid w:val="000D099A"/>
    <w:rsid w:val="000D43D5"/>
    <w:rsid w:val="000D5018"/>
    <w:rsid w:val="000E19CD"/>
    <w:rsid w:val="000F062D"/>
    <w:rsid w:val="000F43C6"/>
    <w:rsid w:val="00123782"/>
    <w:rsid w:val="001302BF"/>
    <w:rsid w:val="001408AE"/>
    <w:rsid w:val="0014650E"/>
    <w:rsid w:val="00165BBA"/>
    <w:rsid w:val="00183429"/>
    <w:rsid w:val="00185DEA"/>
    <w:rsid w:val="001A05E2"/>
    <w:rsid w:val="001B5072"/>
    <w:rsid w:val="001B7F75"/>
    <w:rsid w:val="001D68DB"/>
    <w:rsid w:val="001E204B"/>
    <w:rsid w:val="002418E0"/>
    <w:rsid w:val="002426B6"/>
    <w:rsid w:val="00243052"/>
    <w:rsid w:val="00260442"/>
    <w:rsid w:val="0027491B"/>
    <w:rsid w:val="002817A5"/>
    <w:rsid w:val="0028321C"/>
    <w:rsid w:val="00283438"/>
    <w:rsid w:val="00284CBB"/>
    <w:rsid w:val="00295DF2"/>
    <w:rsid w:val="002A640F"/>
    <w:rsid w:val="002E46AF"/>
    <w:rsid w:val="00303440"/>
    <w:rsid w:val="00305006"/>
    <w:rsid w:val="00311DFC"/>
    <w:rsid w:val="0034008A"/>
    <w:rsid w:val="00345621"/>
    <w:rsid w:val="00390A0C"/>
    <w:rsid w:val="00395DF2"/>
    <w:rsid w:val="003A12E2"/>
    <w:rsid w:val="003B2134"/>
    <w:rsid w:val="003D66FF"/>
    <w:rsid w:val="003E3A59"/>
    <w:rsid w:val="00401B7D"/>
    <w:rsid w:val="004065E1"/>
    <w:rsid w:val="004128CF"/>
    <w:rsid w:val="00454C7D"/>
    <w:rsid w:val="004572C4"/>
    <w:rsid w:val="00457AF7"/>
    <w:rsid w:val="00465A10"/>
    <w:rsid w:val="0048097E"/>
    <w:rsid w:val="004A6B98"/>
    <w:rsid w:val="004A6FD4"/>
    <w:rsid w:val="004A7966"/>
    <w:rsid w:val="004B1393"/>
    <w:rsid w:val="004B2681"/>
    <w:rsid w:val="004F384B"/>
    <w:rsid w:val="005065A3"/>
    <w:rsid w:val="00513C10"/>
    <w:rsid w:val="005247FE"/>
    <w:rsid w:val="00533D4C"/>
    <w:rsid w:val="00536C90"/>
    <w:rsid w:val="0055185E"/>
    <w:rsid w:val="00554495"/>
    <w:rsid w:val="005A426C"/>
    <w:rsid w:val="005A7378"/>
    <w:rsid w:val="005C6F68"/>
    <w:rsid w:val="005F3E43"/>
    <w:rsid w:val="005F42F8"/>
    <w:rsid w:val="006033AF"/>
    <w:rsid w:val="00606C7E"/>
    <w:rsid w:val="00612B1B"/>
    <w:rsid w:val="0061345A"/>
    <w:rsid w:val="006167CF"/>
    <w:rsid w:val="00621A2C"/>
    <w:rsid w:val="00625E91"/>
    <w:rsid w:val="006317E3"/>
    <w:rsid w:val="00642019"/>
    <w:rsid w:val="006635BE"/>
    <w:rsid w:val="006667A6"/>
    <w:rsid w:val="00671D6F"/>
    <w:rsid w:val="00673202"/>
    <w:rsid w:val="0068444E"/>
    <w:rsid w:val="00697718"/>
    <w:rsid w:val="006A7F54"/>
    <w:rsid w:val="006D39AC"/>
    <w:rsid w:val="006F7DE6"/>
    <w:rsid w:val="007016E1"/>
    <w:rsid w:val="00704527"/>
    <w:rsid w:val="0070610A"/>
    <w:rsid w:val="00714EEF"/>
    <w:rsid w:val="007203E0"/>
    <w:rsid w:val="0076548E"/>
    <w:rsid w:val="007944CA"/>
    <w:rsid w:val="007A3862"/>
    <w:rsid w:val="007A4BCE"/>
    <w:rsid w:val="007B0E96"/>
    <w:rsid w:val="007C4FF7"/>
    <w:rsid w:val="007D5E0C"/>
    <w:rsid w:val="007E4C24"/>
    <w:rsid w:val="0081317B"/>
    <w:rsid w:val="00814763"/>
    <w:rsid w:val="00815001"/>
    <w:rsid w:val="0081669B"/>
    <w:rsid w:val="008200DB"/>
    <w:rsid w:val="008233B9"/>
    <w:rsid w:val="008639E8"/>
    <w:rsid w:val="0086793E"/>
    <w:rsid w:val="008845E0"/>
    <w:rsid w:val="00892E93"/>
    <w:rsid w:val="00893C50"/>
    <w:rsid w:val="008B17F9"/>
    <w:rsid w:val="008C47AE"/>
    <w:rsid w:val="008E7C13"/>
    <w:rsid w:val="008F639B"/>
    <w:rsid w:val="0091543D"/>
    <w:rsid w:val="00955B25"/>
    <w:rsid w:val="00964848"/>
    <w:rsid w:val="00972FD3"/>
    <w:rsid w:val="009821CD"/>
    <w:rsid w:val="009873CD"/>
    <w:rsid w:val="009B6C98"/>
    <w:rsid w:val="009E363D"/>
    <w:rsid w:val="00A01C90"/>
    <w:rsid w:val="00A050C2"/>
    <w:rsid w:val="00A0523D"/>
    <w:rsid w:val="00A0779B"/>
    <w:rsid w:val="00A07ED5"/>
    <w:rsid w:val="00A20DEA"/>
    <w:rsid w:val="00A3704A"/>
    <w:rsid w:val="00A37ED2"/>
    <w:rsid w:val="00A53C8F"/>
    <w:rsid w:val="00A832F6"/>
    <w:rsid w:val="00A83745"/>
    <w:rsid w:val="00AA1BB4"/>
    <w:rsid w:val="00AB47FF"/>
    <w:rsid w:val="00AD30D0"/>
    <w:rsid w:val="00AE1772"/>
    <w:rsid w:val="00B06031"/>
    <w:rsid w:val="00B17D88"/>
    <w:rsid w:val="00B329A2"/>
    <w:rsid w:val="00B34B5F"/>
    <w:rsid w:val="00B37C11"/>
    <w:rsid w:val="00B42060"/>
    <w:rsid w:val="00B514CB"/>
    <w:rsid w:val="00B90330"/>
    <w:rsid w:val="00BC49AC"/>
    <w:rsid w:val="00BD391E"/>
    <w:rsid w:val="00BE3DED"/>
    <w:rsid w:val="00C13D94"/>
    <w:rsid w:val="00C2745E"/>
    <w:rsid w:val="00C36259"/>
    <w:rsid w:val="00C53355"/>
    <w:rsid w:val="00C6579D"/>
    <w:rsid w:val="00C65954"/>
    <w:rsid w:val="00C959B6"/>
    <w:rsid w:val="00C979D9"/>
    <w:rsid w:val="00CB4490"/>
    <w:rsid w:val="00CF6141"/>
    <w:rsid w:val="00D030E4"/>
    <w:rsid w:val="00D041D4"/>
    <w:rsid w:val="00D34059"/>
    <w:rsid w:val="00D376EA"/>
    <w:rsid w:val="00D52D3B"/>
    <w:rsid w:val="00D54C0C"/>
    <w:rsid w:val="00D62B62"/>
    <w:rsid w:val="00D97D06"/>
    <w:rsid w:val="00DA2858"/>
    <w:rsid w:val="00DD01C8"/>
    <w:rsid w:val="00DF55A1"/>
    <w:rsid w:val="00E16E94"/>
    <w:rsid w:val="00E17454"/>
    <w:rsid w:val="00E2249F"/>
    <w:rsid w:val="00E36A1C"/>
    <w:rsid w:val="00E40C6B"/>
    <w:rsid w:val="00E75E36"/>
    <w:rsid w:val="00E866FC"/>
    <w:rsid w:val="00E93F88"/>
    <w:rsid w:val="00EA2BC9"/>
    <w:rsid w:val="00EB5859"/>
    <w:rsid w:val="00EC4929"/>
    <w:rsid w:val="00EE32E8"/>
    <w:rsid w:val="00EF78A0"/>
    <w:rsid w:val="00F10A7F"/>
    <w:rsid w:val="00F137BB"/>
    <w:rsid w:val="00F24BB3"/>
    <w:rsid w:val="00F54CC6"/>
    <w:rsid w:val="00F600E7"/>
    <w:rsid w:val="00F62006"/>
    <w:rsid w:val="00FA4CF6"/>
    <w:rsid w:val="00FA697E"/>
    <w:rsid w:val="00FB40E6"/>
    <w:rsid w:val="00FF4215"/>
    <w:rsid w:val="03DE31EB"/>
    <w:rsid w:val="0D4A5FBD"/>
    <w:rsid w:val="0F7421CD"/>
    <w:rsid w:val="101545B2"/>
    <w:rsid w:val="149B6FE1"/>
    <w:rsid w:val="17FF2584"/>
    <w:rsid w:val="1B005CCA"/>
    <w:rsid w:val="218E0FA3"/>
    <w:rsid w:val="223E6DB6"/>
    <w:rsid w:val="23C9060B"/>
    <w:rsid w:val="2E2D0FCD"/>
    <w:rsid w:val="37D630B0"/>
    <w:rsid w:val="3A7366AC"/>
    <w:rsid w:val="47E2063B"/>
    <w:rsid w:val="531C57D9"/>
    <w:rsid w:val="63AD447A"/>
    <w:rsid w:val="65161A40"/>
    <w:rsid w:val="78625A20"/>
    <w:rsid w:val="7AC21E42"/>
    <w:rsid w:val="7B3B78D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6" w:lineRule="auto"/>
    </w:pPr>
    <w:rPr>
      <w:sz w:val="22"/>
      <w:szCs w:val="22"/>
      <w:lang w:val="ru"/>
    </w:rPr>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line="240" w:lineRule="auto"/>
    </w:pPr>
  </w:style>
  <w:style w:type="paragraph" w:styleId="11">
    <w:name w:val="toc 1"/>
    <w:basedOn w:val="a"/>
    <w:next w:val="a"/>
    <w:uiPriority w:val="39"/>
    <w:unhideWhenUsed/>
    <w:qFormat/>
    <w:pPr>
      <w:spacing w:after="100"/>
    </w:pPr>
  </w:style>
  <w:style w:type="paragraph" w:styleId="a8">
    <w:name w:val="Title"/>
    <w:basedOn w:val="a"/>
    <w:next w:val="a"/>
    <w:qFormat/>
    <w:pPr>
      <w:keepNext/>
      <w:keepLines/>
      <w:spacing w:after="60"/>
    </w:pPr>
    <w:rPr>
      <w:sz w:val="52"/>
      <w:szCs w:val="52"/>
    </w:rPr>
  </w:style>
  <w:style w:type="paragraph" w:styleId="a9">
    <w:name w:val="footer"/>
    <w:basedOn w:val="a"/>
    <w:link w:val="aa"/>
    <w:uiPriority w:val="99"/>
    <w:unhideWhenUsed/>
    <w:qFormat/>
    <w:pPr>
      <w:tabs>
        <w:tab w:val="center" w:pos="4677"/>
        <w:tab w:val="right" w:pos="9355"/>
      </w:tabs>
      <w:spacing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c">
    <w:name w:val="Subtitle"/>
    <w:basedOn w:val="a"/>
    <w:next w:val="a"/>
    <w:qFormat/>
    <w:pPr>
      <w:keepNext/>
      <w:keepLines/>
      <w:spacing w:after="320"/>
    </w:pPr>
    <w:rPr>
      <w:color w:val="666666"/>
      <w:sz w:val="30"/>
      <w:szCs w:val="30"/>
    </w:rPr>
  </w:style>
  <w:style w:type="table" w:styleId="ad">
    <w:name w:val="Table Grid"/>
    <w:basedOn w:val="a1"/>
    <w:uiPriority w:val="3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paragraph" w:styleId="ae">
    <w:name w:val="List Paragraph"/>
    <w:basedOn w:val="a"/>
    <w:link w:val="af"/>
    <w:uiPriority w:val="34"/>
    <w:qFormat/>
    <w:pPr>
      <w:ind w:left="720"/>
      <w:contextualSpacing/>
    </w:p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paragraph" w:customStyle="1" w:styleId="12">
    <w:name w:val="Заголовок оглавления1"/>
    <w:basedOn w:val="1"/>
    <w:next w:val="a"/>
    <w:uiPriority w:val="39"/>
    <w:semiHidden/>
    <w:unhideWhenUsed/>
    <w:qFormat/>
    <w:pPr>
      <w:spacing w:before="480" w:after="0"/>
      <w:outlineLvl w:val="9"/>
    </w:pPr>
    <w:rPr>
      <w:rFonts w:asciiTheme="majorHAnsi" w:eastAsiaTheme="majorEastAsia" w:hAnsiTheme="majorHAnsi" w:cstheme="majorBidi"/>
      <w:b/>
      <w:bCs/>
      <w:color w:val="365F91" w:themeColor="accent1" w:themeShade="BF"/>
      <w:sz w:val="28"/>
      <w:szCs w:val="28"/>
      <w:lang w:val="ru-RU"/>
    </w:rPr>
  </w:style>
  <w:style w:type="character" w:customStyle="1" w:styleId="a5">
    <w:name w:val="Текст выноски Знак"/>
    <w:basedOn w:val="a0"/>
    <w:link w:val="a4"/>
    <w:uiPriority w:val="99"/>
    <w:semiHidden/>
    <w:qFormat/>
    <w:rPr>
      <w:rFonts w:ascii="Tahoma" w:hAnsi="Tahoma" w:cs="Tahoma"/>
      <w:sz w:val="16"/>
      <w:szCs w:val="16"/>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qFormat/>
    <w:rPr>
      <w:sz w:val="40"/>
      <w:szCs w:val="40"/>
    </w:rPr>
  </w:style>
  <w:style w:type="character" w:customStyle="1" w:styleId="a7">
    <w:name w:val="Верхний колонтитул Знак"/>
    <w:basedOn w:val="a0"/>
    <w:link w:val="a6"/>
    <w:uiPriority w:val="99"/>
    <w:qFormat/>
  </w:style>
  <w:style w:type="character" w:customStyle="1" w:styleId="aa">
    <w:name w:val="Нижний колонтитул Знак"/>
    <w:basedOn w:val="a0"/>
    <w:link w:val="a9"/>
    <w:uiPriority w:val="99"/>
    <w:qFormat/>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8513566194da8905consplusnormal">
    <w:name w:val="8513566194da8905consplusnormal"/>
    <w:basedOn w:val="a"/>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af0">
    <w:name w:val="заголовок столбца"/>
    <w:basedOn w:val="a"/>
    <w:qFormat/>
    <w:pPr>
      <w:suppressAutoHyphens/>
      <w:spacing w:after="120" w:line="240" w:lineRule="auto"/>
      <w:jc w:val="center"/>
    </w:pPr>
    <w:rPr>
      <w:rFonts w:ascii="Calibri" w:eastAsia="Times New Roman" w:hAnsi="Calibri" w:cs="Times New Roman"/>
      <w:b/>
      <w:color w:val="000000"/>
      <w:sz w:val="16"/>
      <w:szCs w:val="20"/>
      <w:lang w:val="ru-RU"/>
    </w:rPr>
  </w:style>
  <w:style w:type="paragraph" w:customStyle="1" w:styleId="Af1">
    <w:name w:val="Текстовый блок A"/>
    <w:qFormat/>
    <w:pPr>
      <w:spacing w:after="200" w:line="276" w:lineRule="auto"/>
    </w:pPr>
    <w:rPr>
      <w:rFonts w:ascii="Times New Roman" w:eastAsia="Arial Unicode MS" w:hAnsi="Arial Unicode MS" w:cs="Arial Unicode MS"/>
      <w:color w:val="000000"/>
      <w:sz w:val="24"/>
      <w:szCs w:val="24"/>
      <w:u w:color="000000"/>
    </w:rPr>
  </w:style>
  <w:style w:type="character" w:customStyle="1" w:styleId="af">
    <w:name w:val="Абзац списка Знак"/>
    <w:link w:val="ae"/>
    <w:uiPriority w:val="34"/>
    <w:qFormat/>
    <w:locked/>
    <w:rPr>
      <w:sz w:val="22"/>
      <w:szCs w:val="22"/>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276" w:lineRule="auto"/>
    </w:pPr>
    <w:rPr>
      <w:sz w:val="22"/>
      <w:szCs w:val="22"/>
      <w:lang w:val="ru"/>
    </w:rPr>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line="240" w:lineRule="auto"/>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line="240" w:lineRule="auto"/>
    </w:pPr>
  </w:style>
  <w:style w:type="paragraph" w:styleId="11">
    <w:name w:val="toc 1"/>
    <w:basedOn w:val="a"/>
    <w:next w:val="a"/>
    <w:uiPriority w:val="39"/>
    <w:unhideWhenUsed/>
    <w:qFormat/>
    <w:pPr>
      <w:spacing w:after="100"/>
    </w:pPr>
  </w:style>
  <w:style w:type="paragraph" w:styleId="a8">
    <w:name w:val="Title"/>
    <w:basedOn w:val="a"/>
    <w:next w:val="a"/>
    <w:qFormat/>
    <w:pPr>
      <w:keepNext/>
      <w:keepLines/>
      <w:spacing w:after="60"/>
    </w:pPr>
    <w:rPr>
      <w:sz w:val="52"/>
      <w:szCs w:val="52"/>
    </w:rPr>
  </w:style>
  <w:style w:type="paragraph" w:styleId="a9">
    <w:name w:val="footer"/>
    <w:basedOn w:val="a"/>
    <w:link w:val="aa"/>
    <w:uiPriority w:val="99"/>
    <w:unhideWhenUsed/>
    <w:qFormat/>
    <w:pPr>
      <w:tabs>
        <w:tab w:val="center" w:pos="4677"/>
        <w:tab w:val="right" w:pos="9355"/>
      </w:tabs>
      <w:spacing w:line="240" w:lineRule="auto"/>
    </w:p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c">
    <w:name w:val="Subtitle"/>
    <w:basedOn w:val="a"/>
    <w:next w:val="a"/>
    <w:qFormat/>
    <w:pPr>
      <w:keepNext/>
      <w:keepLines/>
      <w:spacing w:after="320"/>
    </w:pPr>
    <w:rPr>
      <w:color w:val="666666"/>
      <w:sz w:val="30"/>
      <w:szCs w:val="30"/>
    </w:rPr>
  </w:style>
  <w:style w:type="table" w:styleId="ad">
    <w:name w:val="Table Grid"/>
    <w:basedOn w:val="a1"/>
    <w:uiPriority w:val="3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paragraph" w:styleId="ae">
    <w:name w:val="List Paragraph"/>
    <w:basedOn w:val="a"/>
    <w:link w:val="af"/>
    <w:uiPriority w:val="34"/>
    <w:qFormat/>
    <w:pPr>
      <w:ind w:left="720"/>
      <w:contextualSpacing/>
    </w:pPr>
  </w:style>
  <w:style w:type="character" w:customStyle="1" w:styleId="70">
    <w:name w:val="Заголовок 7 Знак"/>
    <w:basedOn w:val="a0"/>
    <w:link w:val="7"/>
    <w:uiPriority w:val="9"/>
    <w:qFormat/>
    <w:rPr>
      <w:rFonts w:asciiTheme="majorHAnsi" w:eastAsiaTheme="majorEastAsia" w:hAnsiTheme="majorHAnsi" w:cstheme="majorBidi"/>
      <w:i/>
      <w:iCs/>
      <w:color w:val="404040" w:themeColor="text1" w:themeTint="BF"/>
    </w:rPr>
  </w:style>
  <w:style w:type="paragraph" w:customStyle="1" w:styleId="12">
    <w:name w:val="Заголовок оглавления1"/>
    <w:basedOn w:val="1"/>
    <w:next w:val="a"/>
    <w:uiPriority w:val="39"/>
    <w:semiHidden/>
    <w:unhideWhenUsed/>
    <w:qFormat/>
    <w:pPr>
      <w:spacing w:before="480" w:after="0"/>
      <w:outlineLvl w:val="9"/>
    </w:pPr>
    <w:rPr>
      <w:rFonts w:asciiTheme="majorHAnsi" w:eastAsiaTheme="majorEastAsia" w:hAnsiTheme="majorHAnsi" w:cstheme="majorBidi"/>
      <w:b/>
      <w:bCs/>
      <w:color w:val="365F91" w:themeColor="accent1" w:themeShade="BF"/>
      <w:sz w:val="28"/>
      <w:szCs w:val="28"/>
      <w:lang w:val="ru-RU"/>
    </w:rPr>
  </w:style>
  <w:style w:type="character" w:customStyle="1" w:styleId="a5">
    <w:name w:val="Текст выноски Знак"/>
    <w:basedOn w:val="a0"/>
    <w:link w:val="a4"/>
    <w:uiPriority w:val="99"/>
    <w:semiHidden/>
    <w:qFormat/>
    <w:rPr>
      <w:rFonts w:ascii="Tahoma" w:hAnsi="Tahoma" w:cs="Tahoma"/>
      <w:sz w:val="16"/>
      <w:szCs w:val="16"/>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qFormat/>
    <w:rPr>
      <w:sz w:val="40"/>
      <w:szCs w:val="40"/>
    </w:rPr>
  </w:style>
  <w:style w:type="character" w:customStyle="1" w:styleId="a7">
    <w:name w:val="Верхний колонтитул Знак"/>
    <w:basedOn w:val="a0"/>
    <w:link w:val="a6"/>
    <w:uiPriority w:val="99"/>
    <w:qFormat/>
  </w:style>
  <w:style w:type="character" w:customStyle="1" w:styleId="aa">
    <w:name w:val="Нижний колонтитул Знак"/>
    <w:basedOn w:val="a0"/>
    <w:link w:val="a9"/>
    <w:uiPriority w:val="99"/>
    <w:qFormat/>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8513566194da8905consplusnormal">
    <w:name w:val="8513566194da8905consplusnormal"/>
    <w:basedOn w:val="a"/>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af0">
    <w:name w:val="заголовок столбца"/>
    <w:basedOn w:val="a"/>
    <w:qFormat/>
    <w:pPr>
      <w:suppressAutoHyphens/>
      <w:spacing w:after="120" w:line="240" w:lineRule="auto"/>
      <w:jc w:val="center"/>
    </w:pPr>
    <w:rPr>
      <w:rFonts w:ascii="Calibri" w:eastAsia="Times New Roman" w:hAnsi="Calibri" w:cs="Times New Roman"/>
      <w:b/>
      <w:color w:val="000000"/>
      <w:sz w:val="16"/>
      <w:szCs w:val="20"/>
      <w:lang w:val="ru-RU"/>
    </w:rPr>
  </w:style>
  <w:style w:type="paragraph" w:customStyle="1" w:styleId="Af1">
    <w:name w:val="Текстовый блок A"/>
    <w:qFormat/>
    <w:pPr>
      <w:spacing w:after="200" w:line="276" w:lineRule="auto"/>
    </w:pPr>
    <w:rPr>
      <w:rFonts w:ascii="Times New Roman" w:eastAsia="Arial Unicode MS" w:hAnsi="Arial Unicode MS" w:cs="Arial Unicode MS"/>
      <w:color w:val="000000"/>
      <w:sz w:val="24"/>
      <w:szCs w:val="24"/>
      <w:u w:color="000000"/>
    </w:rPr>
  </w:style>
  <w:style w:type="character" w:customStyle="1" w:styleId="af">
    <w:name w:val="Абзац списка Знак"/>
    <w:link w:val="ae"/>
    <w:uiPriority w:val="34"/>
    <w:qFormat/>
    <w:locked/>
    <w:rPr>
      <w:sz w:val="22"/>
      <w:szCs w:val="22"/>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13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gp87@yandex.r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ggp87@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02FDC-5787-4BBF-B07C-7FDC46FF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3494</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Martinenko</cp:lastModifiedBy>
  <cp:revision>10</cp:revision>
  <cp:lastPrinted>2021-08-27T08:18:00Z</cp:lastPrinted>
  <dcterms:created xsi:type="dcterms:W3CDTF">2021-08-27T07:15:00Z</dcterms:created>
  <dcterms:modified xsi:type="dcterms:W3CDTF">2021-09-06T08:14:00Z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9985BE15798A4006A80644606C15CC3E</vt:lpwstr>
  </property>
</Properties>
</file>