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AD8" w:rsidRPr="000C1CAA" w:rsidRDefault="007B1AD8" w:rsidP="007B1AD8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Pr="000C1CA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8</w:t>
      </w:r>
    </w:p>
    <w:p w:rsidR="007B1AD8" w:rsidRPr="000C1CAA" w:rsidRDefault="007B1AD8" w:rsidP="007B1AD8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>
        <w:rPr>
          <w:rFonts w:eastAsia="Arial"/>
          <w:kern w:val="1"/>
          <w:sz w:val="28"/>
          <w:szCs w:val="28"/>
        </w:rPr>
        <w:t>Дорожные знаки-2</w:t>
      </w:r>
    </w:p>
    <w:p w:rsidR="007B1AD8" w:rsidRPr="000C1CAA" w:rsidRDefault="007B1AD8" w:rsidP="007B1AD8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7B1AD8" w:rsidRPr="000C1CAA" w:rsidRDefault="007B1AD8" w:rsidP="007B1AD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Pr="000C1CAA">
        <w:rPr>
          <w:b/>
          <w:bCs/>
          <w:sz w:val="28"/>
          <w:szCs w:val="28"/>
        </w:rPr>
        <w:t xml:space="preserve"> тип: </w:t>
      </w:r>
      <w:r>
        <w:rPr>
          <w:rFonts w:eastAsia="Arial"/>
          <w:kern w:val="1"/>
          <w:sz w:val="28"/>
          <w:szCs w:val="28"/>
        </w:rPr>
        <w:t>Интерактивные наглядно-демонстрационные ЭОР</w:t>
      </w:r>
    </w:p>
    <w:p w:rsidR="007B1AD8" w:rsidRPr="000C1CAA" w:rsidRDefault="007B1AD8" w:rsidP="007B1AD8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7B1AD8" w:rsidRPr="000C1CAA" w:rsidRDefault="007B1AD8" w:rsidP="007B1AD8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7B1AD8" w:rsidRPr="000C1CAA" w:rsidRDefault="007B1AD8" w:rsidP="007B1AD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Pr="0063518D">
        <w:rPr>
          <w:sz w:val="28"/>
          <w:szCs w:val="28"/>
        </w:rPr>
        <w:t xml:space="preserve"> </w:t>
      </w:r>
    </w:p>
    <w:p w:rsidR="007B1AD8" w:rsidRPr="000C1CAA" w:rsidRDefault="007B1AD8" w:rsidP="007B1AD8">
      <w:pPr>
        <w:pStyle w:val="Default"/>
      </w:pPr>
    </w:p>
    <w:p w:rsidR="007B1AD8" w:rsidRDefault="007B1AD8" w:rsidP="007B1A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3"/>
        <w:tblW w:w="0" w:type="auto"/>
        <w:tblLook w:val="04A0"/>
      </w:tblPr>
      <w:tblGrid>
        <w:gridCol w:w="2292"/>
        <w:gridCol w:w="7279"/>
      </w:tblGrid>
      <w:tr w:rsidR="007B1AD8" w:rsidTr="008B15AC">
        <w:tc>
          <w:tcPr>
            <w:tcW w:w="2292" w:type="dxa"/>
          </w:tcPr>
          <w:p w:rsidR="007B1AD8" w:rsidRPr="000C1CAA" w:rsidRDefault="007B1AD8" w:rsidP="008B15AC">
            <w:pPr>
              <w:pStyle w:val="Default"/>
              <w:rPr>
                <w:sz w:val="28"/>
                <w:szCs w:val="28"/>
              </w:rPr>
            </w:pPr>
          </w:p>
          <w:p w:rsidR="007B1AD8" w:rsidRDefault="007B1AD8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7B1AD8" w:rsidRPr="000C1CAA" w:rsidRDefault="007B1AD8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7B1AD8" w:rsidRPr="00355B13" w:rsidRDefault="007B1AD8" w:rsidP="00355B1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bookmarkStart w:id="0" w:name="_GoBack"/>
            <w:bookmarkEnd w:id="0"/>
            <w:r w:rsidRPr="00355B13">
              <w:rPr>
                <w:rFonts w:eastAsia="Arial"/>
                <w:kern w:val="1"/>
                <w:sz w:val="28"/>
                <w:szCs w:val="28"/>
              </w:rPr>
              <w:t>Формирование представлений о дорожных знаках: их назначении, группах (знаки особых предписаний и се</w:t>
            </w:r>
            <w:r w:rsidRPr="00355B13">
              <w:rPr>
                <w:rFonts w:eastAsia="Arial"/>
                <w:kern w:val="1"/>
                <w:sz w:val="28"/>
                <w:szCs w:val="28"/>
              </w:rPr>
              <w:t>р</w:t>
            </w:r>
            <w:r w:rsidRPr="00355B13">
              <w:rPr>
                <w:rFonts w:eastAsia="Arial"/>
                <w:kern w:val="1"/>
                <w:sz w:val="28"/>
                <w:szCs w:val="28"/>
              </w:rPr>
              <w:t>виса)</w:t>
            </w:r>
          </w:p>
          <w:p w:rsidR="007B1AD8" w:rsidRPr="00355B13" w:rsidRDefault="007B1AD8" w:rsidP="00355B1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355B13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7B1AD8" w:rsidRPr="00355B13" w:rsidRDefault="007B1AD8" w:rsidP="00355B1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355B13">
              <w:rPr>
                <w:rFonts w:eastAsia="Arial"/>
                <w:kern w:val="1"/>
                <w:sz w:val="28"/>
                <w:szCs w:val="28"/>
              </w:rPr>
              <w:t>Усвоение основных правил дорожного движения</w:t>
            </w:r>
          </w:p>
          <w:p w:rsidR="007B1AD8" w:rsidRPr="00355B13" w:rsidRDefault="007B1AD8" w:rsidP="00355B1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355B13">
              <w:rPr>
                <w:rFonts w:eastAsia="Arial"/>
                <w:kern w:val="1"/>
                <w:sz w:val="28"/>
                <w:szCs w:val="28"/>
              </w:rPr>
              <w:t>Развитие внимания и наблюдательности</w:t>
            </w:r>
          </w:p>
          <w:p w:rsidR="007B1AD8" w:rsidRPr="00355B13" w:rsidRDefault="007B1AD8" w:rsidP="00355B1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355B13">
              <w:rPr>
                <w:rFonts w:eastAsia="Arial"/>
                <w:kern w:val="1"/>
                <w:sz w:val="28"/>
                <w:szCs w:val="28"/>
              </w:rPr>
              <w:t>Расширение словарного запаса</w:t>
            </w:r>
          </w:p>
        </w:tc>
      </w:tr>
      <w:tr w:rsidR="007B1AD8" w:rsidTr="008B15AC">
        <w:trPr>
          <w:trHeight w:val="1365"/>
        </w:trPr>
        <w:tc>
          <w:tcPr>
            <w:tcW w:w="2292" w:type="dxa"/>
          </w:tcPr>
          <w:p w:rsidR="007B1AD8" w:rsidRPr="000C1CAA" w:rsidRDefault="007B1AD8" w:rsidP="008B15AC">
            <w:pPr>
              <w:pStyle w:val="Default"/>
              <w:rPr>
                <w:sz w:val="28"/>
                <w:szCs w:val="28"/>
              </w:rPr>
            </w:pPr>
          </w:p>
          <w:p w:rsidR="007B1AD8" w:rsidRDefault="007B1AD8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7B1AD8" w:rsidRPr="000C1CAA" w:rsidRDefault="007B1AD8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7B1AD8" w:rsidRPr="00C73470" w:rsidRDefault="007B1AD8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Данный ресурс предназначен для использования в аудит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риях, оснащенных демонстрационной техникой – инт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рактивной доской. </w:t>
            </w:r>
          </w:p>
          <w:p w:rsidR="007B1AD8" w:rsidRPr="00C73470" w:rsidRDefault="007B1AD8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Ресурс может использоваться педагогом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полностью или 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фрагментарно в ходе занятий по окружающему миру, п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теме безопасного поведения на улице на этапе знакомства с новым материалом. </w:t>
            </w:r>
          </w:p>
          <w:p w:rsidR="007B1AD8" w:rsidRPr="00C73470" w:rsidRDefault="007B1AD8" w:rsidP="00C8607F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C73470">
              <w:rPr>
                <w:rFonts w:eastAsia="Arial"/>
                <w:kern w:val="1"/>
                <w:sz w:val="28"/>
                <w:szCs w:val="28"/>
              </w:rPr>
              <w:t>В ходе демонстрации материала</w:t>
            </w:r>
            <w:r w:rsidR="00C8607F">
              <w:rPr>
                <w:rFonts w:eastAsia="Arial"/>
                <w:kern w:val="1"/>
                <w:sz w:val="28"/>
                <w:szCs w:val="28"/>
              </w:rPr>
              <w:t xml:space="preserve"> педагог может воспольз</w:t>
            </w:r>
            <w:r w:rsidR="00C8607F">
              <w:rPr>
                <w:rFonts w:eastAsia="Arial"/>
                <w:kern w:val="1"/>
                <w:sz w:val="28"/>
                <w:szCs w:val="28"/>
              </w:rPr>
              <w:t>о</w:t>
            </w:r>
            <w:r w:rsidR="00C8607F">
              <w:rPr>
                <w:rFonts w:eastAsia="Arial"/>
                <w:kern w:val="1"/>
                <w:sz w:val="28"/>
                <w:szCs w:val="28"/>
              </w:rPr>
              <w:t xml:space="preserve">ваться 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стилусом интерактивной доски, чтобы сделать к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а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кие-то актуальные пометки на экране, что-то выделить, подчеркнуть или подписать.</w:t>
            </w:r>
          </w:p>
        </w:tc>
      </w:tr>
      <w:tr w:rsidR="007B1AD8" w:rsidTr="008B15AC">
        <w:trPr>
          <w:trHeight w:val="135"/>
        </w:trPr>
        <w:tc>
          <w:tcPr>
            <w:tcW w:w="2292" w:type="dxa"/>
          </w:tcPr>
          <w:p w:rsidR="007B1AD8" w:rsidRDefault="007B1AD8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7B1AD8" w:rsidRPr="000C1CAA" w:rsidRDefault="007B1AD8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7B1AD8" w:rsidRPr="007B1AD8" w:rsidRDefault="007B1AD8" w:rsidP="007B1AD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состоит из нескольких иллюстраций, в сопровожд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нии дикторского текста.</w:t>
            </w:r>
          </w:p>
          <w:p w:rsidR="007B1AD8" w:rsidRPr="007B1AD8" w:rsidRDefault="007B1AD8" w:rsidP="007B1AD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 первой иллюстрации на экране ЭОР изображена улица, пешеход. Когда пешеход начинает переходить дорогу по пешеходному переходу «зебра», машины останавливаю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ся. Знаки «Пешеходный переход», установленные на тр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туаре начинают мигать. Диктор рассказывает, какие быв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ют знаки особых предписаний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как их отличить от других дорожных знаков. </w:t>
            </w:r>
          </w:p>
          <w:p w:rsidR="007B1AD8" w:rsidRPr="007B1AD8" w:rsidRDefault="007B1AD8" w:rsidP="007B1AD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 иллюстрация меняется – на экране появляется изображение знаков особых пре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писаний: «Остановка троллейбуса», «Остановка автоб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са», «Остановка такси», «Место для стоянки», «Тупик (проезда нет)». Каждый знак подписан. Если щелкнуть кнопкой мыши по изображению, включ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ае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тся дикторский текст, рассказывающий о назначении выделенного доро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ж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ного знака.</w:t>
            </w:r>
          </w:p>
          <w:p w:rsidR="007B1AD8" w:rsidRPr="007B1AD8" w:rsidRDefault="007B1AD8" w:rsidP="007B1AD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 xml:space="preserve">При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 иллюстрация меняется – на экране появляется изображение знаков других знаков особых предписаний: «Пешеходный переход», «Надзе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ный пешеходный переход», «Подземный пешеходный п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реход». Каждый знак подписан. Если щелкнуть кнопкой мыши по изображению знака включ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ае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тся дикторский текст с его описание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и назначением.</w:t>
            </w:r>
          </w:p>
          <w:p w:rsidR="007B1AD8" w:rsidRPr="007B1AD8" w:rsidRDefault="007B1AD8" w:rsidP="007B1AD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 иллюстрация меняется – на экране появляется изображение знаков сервиса (кот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рые также относятся к знакам предписаний): «Гостиница», «Больница», «Пункт медицинской помощи», «Дорожно-патрульная служба», «Пункт питания», «Место отдых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». Каждый знак подписан. Если щелкнуть кнопкой мыши по изображению знака, то включ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ае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тся дикторский текст с его описание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</w:t>
            </w:r>
            <w:r w:rsidRPr="007B1AD8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и рассказом о назначении.</w:t>
            </w:r>
          </w:p>
          <w:p w:rsidR="00C8607F" w:rsidRDefault="00C8607F" w:rsidP="00C8607F">
            <w:pPr>
              <w:pStyle w:val="Default"/>
              <w:jc w:val="both"/>
              <w:rPr>
                <w:rFonts w:eastAsia="Arial"/>
                <w:color w:val="auto"/>
                <w:kern w:val="2"/>
                <w:sz w:val="28"/>
                <w:szCs w:val="28"/>
              </w:rPr>
            </w:pPr>
            <w:r>
              <w:rPr>
                <w:rFonts w:eastAsia="Arial"/>
                <w:kern w:val="2"/>
                <w:sz w:val="28"/>
                <w:szCs w:val="28"/>
              </w:rPr>
              <w:t xml:space="preserve">Для управления ЭОР используется меню, 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 котором пре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д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ставлены кнопки с изображением стрелок (листание вп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ред и назад), граммофона (отключение дикторского сопр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о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вождения), домика (начать сначала), карандаша (инстр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у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мент </w:t>
            </w:r>
            <w:r>
              <w:rPr>
                <w:rFonts w:eastAsia="Arial"/>
                <w:i/>
                <w:color w:val="auto"/>
                <w:kern w:val="2"/>
                <w:sz w:val="28"/>
                <w:szCs w:val="28"/>
              </w:rPr>
              <w:t>Чертежник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). </w:t>
            </w:r>
          </w:p>
          <w:p w:rsidR="00C8607F" w:rsidRDefault="00C8607F" w:rsidP="00C8607F">
            <w:pPr>
              <w:jc w:val="both"/>
            </w:pP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Инструмент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. При включении инструмента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поверх изображения открывается виртуальная доска. Данный инструмент позволяет работать на доске стилусом как обычным мелом или фломастером. Делать необходимые заметки и подписи можно двумя цветами: синим и красным. Инструмент имеет функцию «ластик»; таким образом можно убрать неверную запись. Функция «стереть все» позволяет очистить доску от всех нанесе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ных обозначений. Функция «прозрачность» позволяет и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з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менять прозрачность виртуальной доски </w:t>
            </w:r>
            <w:proofErr w:type="gramStart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полностью прозрачной до непрозрачной белой и дает возможность работать на чистой доске.</w:t>
            </w:r>
          </w:p>
          <w:p w:rsidR="007B1AD8" w:rsidRPr="00D90B25" w:rsidRDefault="007B1AD8" w:rsidP="008B15AC">
            <w:pPr>
              <w:pStyle w:val="Default"/>
              <w:jc w:val="both"/>
              <w:rPr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 xml:space="preserve">В любой момент можно закончить работу с ресурсом, для этого нужно просто </w:t>
            </w:r>
            <w:r w:rsidRPr="001F4074">
              <w:rPr>
                <w:rFonts w:eastAsia="Calibri"/>
                <w:sz w:val="28"/>
                <w:szCs w:val="28"/>
              </w:rPr>
              <w:t>закрыть окно браузера.</w:t>
            </w:r>
          </w:p>
        </w:tc>
      </w:tr>
    </w:tbl>
    <w:p w:rsidR="00383B46" w:rsidRDefault="00383B46"/>
    <w:p w:rsidR="007B1AD8" w:rsidRDefault="007B1AD8"/>
    <w:sectPr w:rsidR="007B1AD8" w:rsidSect="0038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354D5D"/>
    <w:multiLevelType w:val="hybridMultilevel"/>
    <w:tmpl w:val="6C7EA4F6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B1AD8"/>
    <w:rsid w:val="00034413"/>
    <w:rsid w:val="00307928"/>
    <w:rsid w:val="00344489"/>
    <w:rsid w:val="00355B13"/>
    <w:rsid w:val="00383B46"/>
    <w:rsid w:val="003E7F97"/>
    <w:rsid w:val="006A6F80"/>
    <w:rsid w:val="007B1AD8"/>
    <w:rsid w:val="009E3CD6"/>
    <w:rsid w:val="009F2271"/>
    <w:rsid w:val="00A479D5"/>
    <w:rsid w:val="00C744F1"/>
    <w:rsid w:val="00C8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1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B1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1AD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nakimova</dc:creator>
  <cp:keywords/>
  <dc:description/>
  <cp:lastModifiedBy>lexa</cp:lastModifiedBy>
  <cp:revision>6</cp:revision>
  <cp:lastPrinted>2014-11-17T19:13:00Z</cp:lastPrinted>
  <dcterms:created xsi:type="dcterms:W3CDTF">2014-11-14T13:52:00Z</dcterms:created>
  <dcterms:modified xsi:type="dcterms:W3CDTF">2014-11-17T19:13:00Z</dcterms:modified>
</cp:coreProperties>
</file>