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</w:t>
      </w:r>
      <w:r w:rsidR="007D7175">
        <w:rPr>
          <w:bCs/>
          <w:sz w:val="28"/>
          <w:szCs w:val="28"/>
        </w:rPr>
        <w:t>1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7D7175" w:rsidRPr="007D7175">
        <w:rPr>
          <w:bCs/>
          <w:sz w:val="28"/>
          <w:szCs w:val="28"/>
        </w:rPr>
        <w:t>Транспорт. Загадки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7D7175" w:rsidRPr="002A6B1D" w:rsidRDefault="007D7175" w:rsidP="007D7175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видах транспорта</w:t>
            </w:r>
          </w:p>
          <w:p w:rsidR="007D7175" w:rsidRPr="002A6B1D" w:rsidRDefault="007D7175" w:rsidP="007D7175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7D7175" w:rsidRPr="002A6B1D" w:rsidRDefault="007D7175" w:rsidP="007D7175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представлений о речевом творчестве</w:t>
            </w:r>
          </w:p>
          <w:p w:rsidR="00E37BA4" w:rsidRPr="00E37BA4" w:rsidRDefault="007D7175" w:rsidP="007D7175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индивидуальную познавательную деятельность детей в 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lastRenderedPageBreak/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ческой проверкой результатов, в которой детям предлаг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ются загадки о </w:t>
            </w:r>
            <w:r w:rsidR="007D7175">
              <w:rPr>
                <w:rFonts w:ascii="Times New Roman" w:hAnsi="Times New Roman" w:cs="Times New Roman"/>
                <w:bCs/>
                <w:sz w:val="28"/>
                <w:szCs w:val="28"/>
              </w:rPr>
              <w:t>разных видах транспорта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 </w:t>
            </w:r>
            <w:proofErr w:type="gramStart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содержании</w:t>
            </w:r>
            <w:proofErr w:type="gramEnd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– пять загадок. На экране дети будут видеть текст каждой отдельной загадки и четыре варианта ответа. Текст загадки озвучен диктором. С помощью специальной кнопки с изображением нотки можно неоднократно во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производить звук.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Задача детей прослушать загадку и выбрать отгадку. Если ответ будет правильный, на экране появится улыбающи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 светофор с горящей зеленой секцией, если неправил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ный – грустный светофор с горящей красной секцией. Кроме того, в ресурсе предусмотрены звуковые сигналы (грустный и веселый), которые передают эмоции светоф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ра. Наличие такой обратной связи поможет детям орие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тироваться в своих действиях, оценивать свою успе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ш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ность. Когда все загадки будут решены, на экране появи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ся информационное окно со статистикой (количеством правильных и неправильных ответов).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одной загадки к другой осуществляется с п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0C1CAA" w:rsidRDefault="00966438" w:rsidP="0096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сто 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закрыть окно браузера. Чтобы начать задание с самого начала</w:t>
            </w:r>
            <w:r w:rsidR="00746F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 xml:space="preserve"> нужно щелкнуть кнопку с изображением домика.</w:t>
            </w:r>
          </w:p>
          <w:p w:rsidR="00103C47" w:rsidRPr="00D90B25" w:rsidRDefault="00552712" w:rsidP="00E93DC9">
            <w:pPr>
              <w:pStyle w:val="Default"/>
              <w:jc w:val="both"/>
              <w:rPr>
                <w:sz w:val="28"/>
                <w:szCs w:val="28"/>
              </w:rPr>
            </w:pPr>
            <w:r w:rsidRPr="00D90B25">
              <w:rPr>
                <w:sz w:val="28"/>
                <w:szCs w:val="28"/>
              </w:rPr>
              <w:t>В ЭОР использованы загадки из книги Занимательно о правилах дорожного движения: Загадки – Казань: ГУ «НЦБЖД», 2012. – 20 с.</w:t>
            </w:r>
          </w:p>
        </w:tc>
      </w:tr>
    </w:tbl>
    <w:p w:rsidR="000C1CAA" w:rsidRPr="000C1CAA" w:rsidRDefault="000C1CAA" w:rsidP="00E37BA4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57507"/>
    <w:rsid w:val="000C1CAA"/>
    <w:rsid w:val="000E2DFE"/>
    <w:rsid w:val="00103C47"/>
    <w:rsid w:val="001C0D29"/>
    <w:rsid w:val="0023661F"/>
    <w:rsid w:val="004A1DE1"/>
    <w:rsid w:val="004D188E"/>
    <w:rsid w:val="00552712"/>
    <w:rsid w:val="0063518D"/>
    <w:rsid w:val="00746F04"/>
    <w:rsid w:val="00755456"/>
    <w:rsid w:val="007D7175"/>
    <w:rsid w:val="008304B8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E64F6"/>
    <w:rsid w:val="00D81817"/>
    <w:rsid w:val="00D90B25"/>
    <w:rsid w:val="00E37BA4"/>
    <w:rsid w:val="00E87CB4"/>
    <w:rsid w:val="00E93DC9"/>
    <w:rsid w:val="00EA2149"/>
    <w:rsid w:val="00EC0781"/>
    <w:rsid w:val="00F049C0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3</cp:revision>
  <cp:lastPrinted>2014-11-19T09:25:00Z</cp:lastPrinted>
  <dcterms:created xsi:type="dcterms:W3CDTF">2014-11-19T09:02:00Z</dcterms:created>
  <dcterms:modified xsi:type="dcterms:W3CDTF">2014-11-19T09:26:00Z</dcterms:modified>
</cp:coreProperties>
</file>